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464"/>
        <w:gridCol w:w="446"/>
        <w:gridCol w:w="2106"/>
      </w:tblGrid>
      <w:tr w:rsidR="003B3B6A" w:rsidRPr="00F70DFE" w:rsidTr="00E46B02">
        <w:trPr>
          <w:trHeight w:val="1079"/>
        </w:trPr>
        <w:tc>
          <w:tcPr>
            <w:tcW w:w="9464" w:type="dxa"/>
            <w:gridSpan w:val="10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3B3B6A" w:rsidRPr="006242DC" w:rsidTr="00E46B02">
        <w:trPr>
          <w:trHeight w:val="1134"/>
        </w:trPr>
        <w:tc>
          <w:tcPr>
            <w:tcW w:w="9464" w:type="dxa"/>
            <w:gridSpan w:val="10"/>
          </w:tcPr>
          <w:p w:rsidR="003B3B6A" w:rsidRPr="006242DC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3B3B6A" w:rsidRPr="006242DC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6242DC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3B3B6A" w:rsidRPr="006242DC" w:rsidRDefault="003B3B6A" w:rsidP="0015442F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6242DC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3B3B6A" w:rsidRPr="006242DC" w:rsidRDefault="003B3B6A" w:rsidP="0015442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242DC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B3B6A" w:rsidRPr="006242DC" w:rsidRDefault="003B3B6A" w:rsidP="0015442F">
            <w:pPr>
              <w:jc w:val="center"/>
              <w:rPr>
                <w:b/>
                <w:sz w:val="26"/>
                <w:szCs w:val="26"/>
              </w:rPr>
            </w:pPr>
          </w:p>
          <w:p w:rsidR="003B3B6A" w:rsidRPr="006242DC" w:rsidRDefault="003B3B6A" w:rsidP="0015442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242DC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3B3B6A" w:rsidRPr="006242DC" w:rsidRDefault="003B3B6A" w:rsidP="0015442F">
            <w:pPr>
              <w:jc w:val="center"/>
              <w:rPr>
                <w:b/>
                <w:spacing w:val="20"/>
              </w:rPr>
            </w:pPr>
          </w:p>
        </w:tc>
      </w:tr>
      <w:tr w:rsidR="003B3B6A" w:rsidRPr="006242DC" w:rsidTr="00E46B02">
        <w:trPr>
          <w:trHeight w:val="397"/>
        </w:trPr>
        <w:tc>
          <w:tcPr>
            <w:tcW w:w="236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  <w:jc w:val="right"/>
            </w:pPr>
            <w:r w:rsidRPr="006242DC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6242DC" w:rsidRDefault="00A41B3C" w:rsidP="0015442F">
            <w:pPr>
              <w:spacing w:before="100" w:beforeAutospacing="1" w:after="100" w:afterAutospacing="1"/>
              <w:contextualSpacing/>
            </w:pPr>
            <w:r>
              <w:t>01</w:t>
            </w:r>
          </w:p>
        </w:tc>
        <w:tc>
          <w:tcPr>
            <w:tcW w:w="236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r w:rsidRPr="006242DC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6242DC" w:rsidRDefault="00A41B3C" w:rsidP="0015442F">
            <w:pPr>
              <w:spacing w:before="100" w:beforeAutospacing="1" w:after="100" w:afterAutospacing="1"/>
              <w:contextualSpacing/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6242DC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r w:rsidRPr="006242DC"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proofErr w:type="gramStart"/>
            <w:r w:rsidRPr="006242DC">
              <w:t>г</w:t>
            </w:r>
            <w:proofErr w:type="gramEnd"/>
            <w:r w:rsidRPr="006242DC">
              <w:t>.</w:t>
            </w:r>
          </w:p>
        </w:tc>
        <w:tc>
          <w:tcPr>
            <w:tcW w:w="3464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  <w:jc w:val="center"/>
            </w:pPr>
            <w:r w:rsidRPr="006242DC">
              <w:t>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6242DC" w:rsidRDefault="00A41B3C" w:rsidP="0015442F">
            <w:pPr>
              <w:spacing w:before="100" w:beforeAutospacing="1" w:after="100" w:afterAutospacing="1"/>
              <w:contextualSpacing/>
              <w:jc w:val="center"/>
            </w:pPr>
            <w:r>
              <w:t>181</w:t>
            </w:r>
          </w:p>
        </w:tc>
      </w:tr>
      <w:tr w:rsidR="003B3B6A" w:rsidRPr="006242DC" w:rsidTr="00E46B02">
        <w:trPr>
          <w:trHeight w:val="304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proofErr w:type="spellStart"/>
            <w:r w:rsidRPr="006242DC">
              <w:t>пгт</w:t>
            </w:r>
            <w:proofErr w:type="spellEnd"/>
            <w:r w:rsidRPr="006242DC">
              <w:t>. Октябрьское</w:t>
            </w:r>
          </w:p>
        </w:tc>
      </w:tr>
    </w:tbl>
    <w:p w:rsidR="003B3B6A" w:rsidRPr="006242DC" w:rsidRDefault="003B3B6A" w:rsidP="003B3B6A">
      <w:pPr>
        <w:spacing w:before="100" w:beforeAutospacing="1" w:after="100" w:afterAutospacing="1"/>
        <w:ind w:firstLine="708"/>
        <w:contextualSpacing/>
        <w:jc w:val="both"/>
      </w:pPr>
      <w:r w:rsidRPr="006242D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B6A" w:rsidRPr="006242DC" w:rsidRDefault="003B3B6A" w:rsidP="003B3B6A">
      <w:r w:rsidRPr="006242DC">
        <w:t>Об утверждении муниципальной программы</w:t>
      </w:r>
    </w:p>
    <w:p w:rsidR="003B3B6A" w:rsidRPr="006242DC" w:rsidRDefault="003B3B6A" w:rsidP="003B3B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242DC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3B3B6A" w:rsidRPr="006242DC" w:rsidRDefault="003B3B6A" w:rsidP="006D2A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242D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6242D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6242DC">
        <w:rPr>
          <w:rFonts w:ascii="Times New Roman" w:hAnsi="Times New Roman" w:cs="Times New Roman"/>
          <w:sz w:val="24"/>
          <w:szCs w:val="24"/>
        </w:rPr>
        <w:t>»</w:t>
      </w:r>
    </w:p>
    <w:p w:rsidR="006D2A02" w:rsidRPr="006242DC" w:rsidRDefault="006D2A02" w:rsidP="006D2A02">
      <w:pPr>
        <w:pStyle w:val="ConsPlusNormal"/>
        <w:ind w:firstLine="0"/>
      </w:pPr>
    </w:p>
    <w:p w:rsidR="003B3B6A" w:rsidRPr="006242DC" w:rsidRDefault="003B3B6A" w:rsidP="003B3B6A">
      <w:pPr>
        <w:spacing w:before="100" w:beforeAutospacing="1" w:after="100" w:afterAutospacing="1"/>
        <w:ind w:firstLine="567"/>
        <w:contextualSpacing/>
        <w:jc w:val="both"/>
      </w:pPr>
      <w:r w:rsidRPr="006242DC">
        <w:t xml:space="preserve">В соответствии с Бюджетным кодексом Российской Федерации, постановлениями администрации городского поселения </w:t>
      </w:r>
      <w:proofErr w:type="gramStart"/>
      <w:r w:rsidRPr="006242DC">
        <w:t>Октябрьское</w:t>
      </w:r>
      <w:proofErr w:type="gramEnd"/>
      <w:r w:rsidRPr="006242DC">
        <w:t xml:space="preserve"> от 03.02.2020 № 10 «Об утверждении Порядка принятия </w:t>
      </w:r>
      <w:r w:rsidRPr="006242DC">
        <w:rPr>
          <w:color w:val="000000"/>
        </w:rPr>
        <w:t>решений о разработке, формировании и реализации муниципальных программ в городском поселении Октябрьское</w:t>
      </w:r>
      <w:r w:rsidRPr="006242DC">
        <w:t>», от 15.05.2020 № 76 «О перечне муниципальных программ городского поселения Октябрьское»:</w:t>
      </w:r>
    </w:p>
    <w:p w:rsidR="006D2A02" w:rsidRPr="006242DC" w:rsidRDefault="003B3B6A" w:rsidP="006D2A02">
      <w:pPr>
        <w:spacing w:before="100" w:beforeAutospacing="1" w:after="100" w:afterAutospacing="1"/>
        <w:ind w:firstLine="567"/>
        <w:contextualSpacing/>
        <w:jc w:val="both"/>
      </w:pPr>
      <w:r w:rsidRPr="006242DC">
        <w:t>1. Утвердить муниципальную программу «Развитие транспортной инфраструктуры городского поселения Октябрьское» согласно приложению.</w:t>
      </w:r>
    </w:p>
    <w:p w:rsidR="001342AE" w:rsidRPr="006242DC" w:rsidRDefault="003B3B6A" w:rsidP="001342AE">
      <w:pPr>
        <w:spacing w:before="100" w:beforeAutospacing="1" w:after="100" w:afterAutospacing="1"/>
        <w:ind w:firstLine="567"/>
        <w:contextualSpacing/>
        <w:jc w:val="both"/>
      </w:pPr>
      <w:r w:rsidRPr="006242DC">
        <w:rPr>
          <w:color w:val="000000"/>
        </w:rPr>
        <w:t xml:space="preserve">2. </w:t>
      </w:r>
      <w:r w:rsidR="001342AE" w:rsidRPr="006242DC">
        <w:rPr>
          <w:color w:val="000000"/>
        </w:rPr>
        <w:t xml:space="preserve"> </w:t>
      </w:r>
      <w:r w:rsidR="001342AE" w:rsidRPr="006242DC">
        <w:t xml:space="preserve">Постановление вступает в силу </w:t>
      </w:r>
      <w:r w:rsidR="006D2A02" w:rsidRPr="006242DC">
        <w:t>после его обнародования и распространяется на правоотношения, возникшие с 01.01.2020.</w:t>
      </w:r>
    </w:p>
    <w:p w:rsidR="001342AE" w:rsidRPr="006242DC" w:rsidRDefault="003B3B6A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  <w:lang w:eastAsia="en-US" w:bidi="en-US"/>
        </w:rPr>
      </w:pPr>
      <w:r w:rsidRPr="006242DC">
        <w:rPr>
          <w:color w:val="000000"/>
        </w:rPr>
        <w:t xml:space="preserve">3. </w:t>
      </w:r>
      <w:r w:rsidRPr="006242DC">
        <w:rPr>
          <w:color w:val="000000"/>
          <w:lang w:eastAsia="en-US" w:bidi="en-US"/>
        </w:rPr>
        <w:t>Обнародовать настоящее постановление путем размещения в общедоступных местах, а также разместить на официальном сайте городского поселения Октябрьское в сети «Интернет».</w:t>
      </w:r>
    </w:p>
    <w:p w:rsidR="001342AE" w:rsidRPr="006242DC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 w:rsidRPr="006242DC">
        <w:rPr>
          <w:color w:val="000000"/>
        </w:rPr>
        <w:t>4</w:t>
      </w:r>
      <w:r w:rsidR="003B3B6A" w:rsidRPr="006242DC">
        <w:rPr>
          <w:color w:val="000000"/>
        </w:rPr>
        <w:t>.</w:t>
      </w:r>
      <w:r w:rsidRPr="006242DC">
        <w:rPr>
          <w:color w:val="000000"/>
        </w:rPr>
        <w:t xml:space="preserve">  </w:t>
      </w:r>
      <w:proofErr w:type="gramStart"/>
      <w:r w:rsidR="003B3B6A" w:rsidRPr="006242DC">
        <w:t>Контроль за</w:t>
      </w:r>
      <w:proofErr w:type="gramEnd"/>
      <w:r w:rsidR="003B3B6A" w:rsidRPr="006242DC">
        <w:t xml:space="preserve"> выполнением постановления оставляю за собой.</w:t>
      </w:r>
      <w:r w:rsidR="003B3B6A" w:rsidRPr="006242DC">
        <w:rPr>
          <w:color w:val="000000"/>
        </w:rPr>
        <w:t xml:space="preserve"> </w:t>
      </w:r>
    </w:p>
    <w:p w:rsidR="001342AE" w:rsidRPr="006242DC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1342AE" w:rsidRPr="006242DC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3B3B6A" w:rsidRPr="006242DC" w:rsidRDefault="003B3B6A" w:rsidP="006D2A02">
      <w:pPr>
        <w:spacing w:before="100" w:beforeAutospacing="1" w:after="100" w:afterAutospacing="1"/>
        <w:contextualSpacing/>
        <w:jc w:val="both"/>
      </w:pPr>
      <w:r w:rsidRPr="006242DC">
        <w:t xml:space="preserve">Глава городского поселения </w:t>
      </w:r>
      <w:proofErr w:type="gramStart"/>
      <w:r w:rsidRPr="006242DC">
        <w:t>Октябрьское</w:t>
      </w:r>
      <w:proofErr w:type="gramEnd"/>
      <w:r w:rsidRPr="006242DC">
        <w:t xml:space="preserve">                          </w:t>
      </w:r>
      <w:r w:rsidR="001342AE" w:rsidRPr="006242DC">
        <w:t xml:space="preserve">                      </w:t>
      </w:r>
      <w:r w:rsidR="006D2A02" w:rsidRPr="006242DC">
        <w:t xml:space="preserve">          </w:t>
      </w:r>
      <w:r w:rsidRPr="006242DC">
        <w:t>В.В. Сенченков</w:t>
      </w:r>
    </w:p>
    <w:p w:rsidR="00CB4D3E" w:rsidRPr="006242DC" w:rsidRDefault="00CB4D3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 w:rsidP="002E1B2E">
      <w:pPr>
        <w:jc w:val="right"/>
      </w:pPr>
      <w:r w:rsidRPr="006242DC">
        <w:lastRenderedPageBreak/>
        <w:t xml:space="preserve">Приложение </w:t>
      </w:r>
      <w:r w:rsidRPr="006242DC">
        <w:br/>
        <w:t>к постановлению администрации</w:t>
      </w:r>
      <w:r w:rsidRPr="006242DC">
        <w:br/>
        <w:t xml:space="preserve"> городского поселения Октябрьское</w:t>
      </w:r>
    </w:p>
    <w:p w:rsidR="002E1B2E" w:rsidRPr="006242DC" w:rsidRDefault="002E1B2E" w:rsidP="002E1B2E">
      <w:pPr>
        <w:jc w:val="right"/>
        <w:rPr>
          <w:u w:val="single"/>
        </w:rPr>
      </w:pPr>
      <w:r w:rsidRPr="006242DC">
        <w:t xml:space="preserve">от </w:t>
      </w:r>
      <w:r w:rsidR="00A41B3C">
        <w:t>«01</w:t>
      </w:r>
      <w:r w:rsidRPr="006242DC">
        <w:t>»</w:t>
      </w:r>
      <w:r w:rsidR="00A41B3C">
        <w:t xml:space="preserve"> сентября</w:t>
      </w:r>
      <w:r w:rsidRPr="006242DC">
        <w:t xml:space="preserve"> 2020 г. №</w:t>
      </w:r>
      <w:r w:rsidR="00A41B3C">
        <w:t xml:space="preserve"> 181</w:t>
      </w:r>
      <w:bookmarkStart w:id="0" w:name="_GoBack"/>
      <w:bookmarkEnd w:id="0"/>
      <w:r w:rsidRPr="006242DC">
        <w:rPr>
          <w:u w:val="single"/>
        </w:rPr>
        <w:t xml:space="preserve">   </w:t>
      </w:r>
    </w:p>
    <w:p w:rsidR="002E1B2E" w:rsidRPr="006242DC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</w:p>
    <w:p w:rsidR="002E1B2E" w:rsidRPr="006242DC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  <w:r w:rsidRPr="006242DC">
        <w:rPr>
          <w:b w:val="0"/>
          <w:color w:val="000000"/>
        </w:rPr>
        <w:t xml:space="preserve">Муниципальная программа </w:t>
      </w:r>
    </w:p>
    <w:p w:rsidR="002E1B2E" w:rsidRPr="006242DC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  <w:r w:rsidRPr="006242DC">
        <w:rPr>
          <w:b w:val="0"/>
          <w:color w:val="000000"/>
        </w:rPr>
        <w:t>«</w:t>
      </w:r>
      <w:r w:rsidRPr="006242DC">
        <w:rPr>
          <w:b w:val="0"/>
        </w:rPr>
        <w:t>Развитие транспортной инфраструктуры городского поселения Октябрьское</w:t>
      </w:r>
      <w:r w:rsidRPr="006242DC">
        <w:rPr>
          <w:b w:val="0"/>
          <w:color w:val="000000"/>
        </w:rPr>
        <w:t xml:space="preserve">» </w:t>
      </w:r>
    </w:p>
    <w:p w:rsidR="002E1B2E" w:rsidRPr="006242DC" w:rsidRDefault="002E1B2E" w:rsidP="002E1B2E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6242DC">
        <w:rPr>
          <w:color w:val="000000"/>
        </w:rPr>
        <w:t>(далее – Программа)</w:t>
      </w:r>
    </w:p>
    <w:p w:rsidR="002E1B2E" w:rsidRPr="006242DC" w:rsidRDefault="002E1B2E" w:rsidP="002E1B2E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</w:p>
    <w:p w:rsidR="002E1B2E" w:rsidRPr="006242DC" w:rsidRDefault="002E1B2E" w:rsidP="002E1B2E">
      <w:pPr>
        <w:keepNext/>
        <w:keepLines/>
        <w:widowControl w:val="0"/>
        <w:autoSpaceDE w:val="0"/>
        <w:autoSpaceDN w:val="0"/>
        <w:adjustRightInd w:val="0"/>
        <w:ind w:right="181"/>
        <w:jc w:val="center"/>
        <w:rPr>
          <w:color w:val="000000"/>
        </w:rPr>
      </w:pPr>
      <w:r w:rsidRPr="006242DC">
        <w:rPr>
          <w:color w:val="000000"/>
        </w:rPr>
        <w:t>Паспорт Программы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2E1B2E" w:rsidRPr="006242DC" w:rsidRDefault="002E1B2E" w:rsidP="002E1B2E">
            <w:pPr>
              <w:pStyle w:val="ConsPlusTitle"/>
              <w:keepNext/>
              <w:keepLines/>
              <w:rPr>
                <w:b w:val="0"/>
                <w:color w:val="000000"/>
              </w:rPr>
            </w:pPr>
            <w:r w:rsidRPr="006242DC">
              <w:rPr>
                <w:b w:val="0"/>
                <w:color w:val="000000"/>
              </w:rPr>
              <w:t>«</w:t>
            </w:r>
            <w:r w:rsidRPr="006242DC">
              <w:rPr>
                <w:b w:val="0"/>
              </w:rPr>
              <w:t>Развитие транспортной инфраструктуры городского поселения Октябрьское</w:t>
            </w:r>
            <w:r w:rsidRPr="006242DC">
              <w:rPr>
                <w:b w:val="0"/>
                <w:color w:val="000000"/>
              </w:rPr>
              <w:t xml:space="preserve">» 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 и номер</w:t>
            </w:r>
            <w:proofErr w:type="gramEnd"/>
          </w:p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нормативного </w:t>
            </w:r>
          </w:p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акта)  </w:t>
            </w:r>
          </w:p>
        </w:tc>
        <w:tc>
          <w:tcPr>
            <w:tcW w:w="5954" w:type="dxa"/>
          </w:tcPr>
          <w:p w:rsidR="002E1B2E" w:rsidRPr="006242DC" w:rsidRDefault="002E1B2E" w:rsidP="0015442F">
            <w:pPr>
              <w:keepNext/>
              <w:keepLines/>
              <w:widowControl w:val="0"/>
              <w:jc w:val="both"/>
            </w:pPr>
            <w:r w:rsidRPr="006242DC">
              <w:t xml:space="preserve">Постановление администрации </w:t>
            </w:r>
            <w:r w:rsidR="006D2A02" w:rsidRPr="006242DC">
              <w:t>городского поселения Октябрьское</w:t>
            </w:r>
            <w:r w:rsidRPr="006242DC">
              <w:t xml:space="preserve"> </w:t>
            </w:r>
          </w:p>
          <w:p w:rsidR="002E1B2E" w:rsidRPr="006242DC" w:rsidRDefault="002E1B2E" w:rsidP="002E1B2E">
            <w:pPr>
              <w:keepNext/>
              <w:keepLines/>
              <w:widowControl w:val="0"/>
              <w:jc w:val="both"/>
            </w:pPr>
            <w:r w:rsidRPr="006242DC">
              <w:t xml:space="preserve">от «____» </w:t>
            </w:r>
            <w:r w:rsidRPr="006242DC">
              <w:rPr>
                <w:u w:val="single"/>
              </w:rPr>
              <w:t xml:space="preserve"> </w:t>
            </w:r>
            <w:r w:rsidRPr="006242DC">
              <w:rPr>
                <w:u w:val="single"/>
              </w:rPr>
              <w:softHyphen/>
            </w:r>
            <w:r w:rsidRPr="006242DC">
              <w:rPr>
                <w:u w:val="single"/>
              </w:rPr>
              <w:softHyphen/>
            </w:r>
            <w:r w:rsidRPr="006242DC">
              <w:rPr>
                <w:u w:val="single"/>
              </w:rPr>
              <w:softHyphen/>
            </w:r>
            <w:r w:rsidRPr="006242DC">
              <w:rPr>
                <w:u w:val="single"/>
              </w:rPr>
              <w:softHyphen/>
              <w:t xml:space="preserve">_________ </w:t>
            </w:r>
            <w:r w:rsidRPr="006242DC">
              <w:t xml:space="preserve"> 2020 г. № </w:t>
            </w:r>
            <w:r w:rsidRPr="006242DC">
              <w:rPr>
                <w:u w:val="single"/>
              </w:rPr>
              <w:t xml:space="preserve"> ____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2E1B2E" w:rsidRPr="006242DC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2E1B2E" w:rsidRPr="006242DC" w:rsidRDefault="002E1B2E" w:rsidP="006D2A02">
            <w:pPr>
              <w:keepNext/>
              <w:keepLines/>
              <w:widowControl w:val="0"/>
              <w:jc w:val="both"/>
              <w:rPr>
                <w:b/>
              </w:rPr>
            </w:pPr>
            <w:r w:rsidRPr="006242DC">
              <w:t xml:space="preserve">Администрация городского поселения </w:t>
            </w:r>
            <w:proofErr w:type="gramStart"/>
            <w:r w:rsidRPr="006242DC">
              <w:t>Октябрьское</w:t>
            </w:r>
            <w:proofErr w:type="gramEnd"/>
            <w:r w:rsidR="002C08E4" w:rsidRPr="006242DC">
              <w:t>, в лице отдела имущественных, земельных отношений и благоустройства администрации городского поселения Октябрьское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</w:tcPr>
          <w:p w:rsidR="002E1B2E" w:rsidRPr="006242DC" w:rsidRDefault="00002D7A" w:rsidP="005D0D55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 w:rsidRPr="006242DC">
              <w:t>Повышение благоустройства, качества и технического состояния</w:t>
            </w:r>
            <w:r w:rsidR="00F17FF8" w:rsidRPr="006242DC">
              <w:t xml:space="preserve"> дорог</w:t>
            </w:r>
            <w:r w:rsidRPr="006242DC">
              <w:t xml:space="preserve"> до уровня соответствующ</w:t>
            </w:r>
            <w:r w:rsidR="005D0D55" w:rsidRPr="006242DC">
              <w:t>его</w:t>
            </w:r>
            <w:r w:rsidRPr="006242DC">
              <w:t xml:space="preserve"> нормативны</w:t>
            </w:r>
            <w:r w:rsidR="005D0D55" w:rsidRPr="006242DC">
              <w:t>м</w:t>
            </w:r>
            <w:r w:rsidRPr="006242DC">
              <w:t xml:space="preserve"> требовани</w:t>
            </w:r>
            <w:r w:rsidR="005D0D55" w:rsidRPr="006242DC">
              <w:t>ям</w:t>
            </w:r>
            <w:r w:rsidRPr="006242DC">
              <w:t>, обеспечение безопасности дорожного движения на дорогах и улицах поселения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002D7A" w:rsidRPr="006242DC" w:rsidRDefault="00002D7A" w:rsidP="00002D7A">
            <w:pPr>
              <w:jc w:val="both"/>
            </w:pPr>
            <w:r w:rsidRPr="006242DC"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002D7A" w:rsidRPr="006242DC" w:rsidRDefault="00002D7A" w:rsidP="00002D7A">
            <w:pPr>
              <w:jc w:val="both"/>
            </w:pPr>
            <w:r w:rsidRPr="006242DC">
              <w:t xml:space="preserve">2. Обеспечение </w:t>
            </w:r>
            <w:proofErr w:type="gramStart"/>
            <w:r w:rsidRPr="006242DC">
              <w:t>безопасности функционирования сети автомобильных дорог общего пользования</w:t>
            </w:r>
            <w:proofErr w:type="gramEnd"/>
            <w:r w:rsidRPr="006242DC">
              <w:t>.</w:t>
            </w:r>
          </w:p>
          <w:p w:rsidR="002E1B2E" w:rsidRPr="006242DC" w:rsidRDefault="002E1B2E" w:rsidP="0015442F">
            <w:pPr>
              <w:pStyle w:val="ConsPlusNormal"/>
              <w:ind w:firstLine="0"/>
              <w:jc w:val="both"/>
              <w:outlineLvl w:val="0"/>
              <w:rPr>
                <w:color w:val="000000"/>
              </w:rPr>
            </w:pP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02D7A" w:rsidRPr="006242DC" w:rsidRDefault="00002D7A" w:rsidP="002E1B2E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>Капитальный ремонт и ремонт автомобильных дорог местного значения.</w:t>
            </w:r>
          </w:p>
          <w:p w:rsidR="00002D7A" w:rsidRPr="006242DC" w:rsidRDefault="00002D7A" w:rsidP="002E1B2E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>Содержание автомобильных дорог.</w:t>
            </w:r>
          </w:p>
          <w:p w:rsidR="002E1B2E" w:rsidRPr="006242DC" w:rsidRDefault="00002D7A" w:rsidP="002E1B2E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>Приобретение дорожных знаков и краски для разметки.</w:t>
            </w:r>
            <w:r w:rsidR="002E1B2E" w:rsidRPr="006242DC">
              <w:rPr>
                <w:color w:val="000000"/>
              </w:rPr>
              <w:t xml:space="preserve"> </w:t>
            </w:r>
          </w:p>
        </w:tc>
      </w:tr>
      <w:tr w:rsidR="00EB652A" w:rsidRPr="006242DC" w:rsidTr="0015442F">
        <w:tc>
          <w:tcPr>
            <w:tcW w:w="4111" w:type="dxa"/>
            <w:vAlign w:val="center"/>
          </w:tcPr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4" w:type="dxa"/>
          </w:tcPr>
          <w:p w:rsidR="00EB652A" w:rsidRPr="006242DC" w:rsidRDefault="00EB652A" w:rsidP="00EB652A">
            <w:pPr>
              <w:rPr>
                <w:color w:val="000000"/>
              </w:rPr>
            </w:pPr>
            <w:r w:rsidRPr="006242DC">
              <w:rPr>
                <w:color w:val="000000"/>
              </w:rPr>
              <w:t xml:space="preserve">1. </w:t>
            </w:r>
            <w:r w:rsidRPr="006242DC">
              <w:t xml:space="preserve">Прирост площади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</w:t>
            </w:r>
            <w:r w:rsidR="00DD4440" w:rsidRPr="006242DC">
              <w:rPr>
                <w:color w:val="000000"/>
              </w:rPr>
              <w:t>с 1150 до 3600 м</w:t>
            </w:r>
            <w:proofErr w:type="gramStart"/>
            <w:r w:rsidR="00DD4440" w:rsidRPr="006242DC">
              <w:rPr>
                <w:color w:val="000000"/>
                <w:vertAlign w:val="superscript"/>
              </w:rPr>
              <w:t>2</w:t>
            </w:r>
            <w:proofErr w:type="gramEnd"/>
          </w:p>
          <w:p w:rsidR="00EB652A" w:rsidRPr="006242DC" w:rsidRDefault="00DD4440" w:rsidP="005D0D55">
            <w:pPr>
              <w:rPr>
                <w:color w:val="000000"/>
                <w:vertAlign w:val="superscript"/>
              </w:rPr>
            </w:pPr>
            <w:r w:rsidRPr="006242DC">
              <w:rPr>
                <w:color w:val="000000"/>
              </w:rPr>
              <w:t>2</w:t>
            </w:r>
            <w:r w:rsidR="00EB652A" w:rsidRPr="006242DC">
              <w:rPr>
                <w:color w:val="000000"/>
              </w:rPr>
              <w:t xml:space="preserve">. </w:t>
            </w:r>
            <w:r w:rsidR="005D0D55" w:rsidRPr="006242DC">
              <w:rPr>
                <w:color w:val="000000"/>
              </w:rPr>
              <w:t>Повышение д</w:t>
            </w:r>
            <w:r w:rsidR="00EB652A" w:rsidRPr="006242DC">
              <w:t>ол</w:t>
            </w:r>
            <w:r w:rsidR="005D0D55" w:rsidRPr="006242DC">
              <w:t>и</w:t>
            </w:r>
            <w:r w:rsidR="00EB652A" w:rsidRPr="006242DC">
              <w:t xml:space="preserve"> автомобильных дорог общего </w:t>
            </w:r>
            <w:r w:rsidR="00EB652A" w:rsidRPr="006242DC">
              <w:lastRenderedPageBreak/>
              <w:t xml:space="preserve">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</w:t>
            </w:r>
            <w:r w:rsidR="005D0D55" w:rsidRPr="006242DC">
              <w:t xml:space="preserve">с 25% </w:t>
            </w:r>
            <w:r w:rsidR="00EB652A" w:rsidRPr="006242DC">
              <w:t>до 45%</w:t>
            </w:r>
          </w:p>
        </w:tc>
      </w:tr>
      <w:tr w:rsidR="00EB652A" w:rsidRPr="006242DC" w:rsidTr="0015442F">
        <w:tc>
          <w:tcPr>
            <w:tcW w:w="4111" w:type="dxa"/>
            <w:vAlign w:val="center"/>
          </w:tcPr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</w:t>
            </w:r>
          </w:p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954" w:type="dxa"/>
          </w:tcPr>
          <w:p w:rsidR="00EB652A" w:rsidRPr="006242DC" w:rsidRDefault="00EB652A" w:rsidP="00665001">
            <w:pPr>
              <w:keepNext/>
              <w:keepLines/>
              <w:widowControl w:val="0"/>
              <w:jc w:val="both"/>
            </w:pPr>
            <w:r w:rsidRPr="006242DC">
              <w:t>2020 – 2025 годы и плановый период до 2030 года</w:t>
            </w:r>
          </w:p>
        </w:tc>
      </w:tr>
      <w:tr w:rsidR="00EB652A" w:rsidRPr="006242DC" w:rsidTr="0015442F">
        <w:tc>
          <w:tcPr>
            <w:tcW w:w="4111" w:type="dxa"/>
            <w:vAlign w:val="center"/>
          </w:tcPr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4" w:type="dxa"/>
          </w:tcPr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 xml:space="preserve">Общий объем финансирования программы на 2020 – 2030 годы за счет всех источников </w:t>
            </w:r>
            <w:r w:rsidRPr="006242DC">
              <w:rPr>
                <w:color w:val="000000"/>
              </w:rPr>
              <w:t>31 558,2</w:t>
            </w:r>
            <w:r w:rsidRPr="006242DC">
              <w:t xml:space="preserve">тыс. рублей, 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 xml:space="preserve">в том числе по годам: 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 xml:space="preserve">2020 год – </w:t>
            </w:r>
            <w:r w:rsidRPr="006242DC">
              <w:rPr>
                <w:color w:val="000000"/>
              </w:rPr>
              <w:t xml:space="preserve">13 725,2 </w:t>
            </w:r>
            <w:r w:rsidRPr="006242DC">
              <w:t xml:space="preserve">тыс.рублей; 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2021 год – 8 916,5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2022 год – 8 916,5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2023 год – 0,0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2024 год – 0,0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2025 год – 0,0 тыс</w:t>
            </w: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B652A" w:rsidRPr="006242DC" w:rsidRDefault="00EB652A" w:rsidP="00C07F7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0,0 тыс. рублей.</w:t>
            </w:r>
          </w:p>
        </w:tc>
      </w:tr>
    </w:tbl>
    <w:p w:rsidR="002E1B2E" w:rsidRPr="006242DC" w:rsidRDefault="002E1B2E" w:rsidP="002E1B2E">
      <w:pPr>
        <w:jc w:val="right"/>
      </w:pPr>
    </w:p>
    <w:p w:rsidR="00C07F7D" w:rsidRPr="006242DC" w:rsidRDefault="00C07F7D" w:rsidP="00C07F7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242DC">
        <w:rPr>
          <w:rFonts w:eastAsiaTheme="minorHAnsi"/>
          <w:b/>
          <w:lang w:eastAsia="en-US"/>
        </w:rPr>
        <w:t xml:space="preserve">Раздел 1 «О стимулировании </w:t>
      </w:r>
      <w:proofErr w:type="gramStart"/>
      <w:r w:rsidRPr="006242DC">
        <w:rPr>
          <w:rFonts w:eastAsiaTheme="minorHAnsi"/>
          <w:b/>
          <w:lang w:eastAsia="en-US"/>
        </w:rPr>
        <w:t>инвестиционной</w:t>
      </w:r>
      <w:proofErr w:type="gramEnd"/>
      <w:r w:rsidRPr="006242DC">
        <w:rPr>
          <w:rFonts w:eastAsiaTheme="minorHAnsi"/>
          <w:b/>
          <w:lang w:eastAsia="en-US"/>
        </w:rPr>
        <w:t xml:space="preserve"> и инновационной</w:t>
      </w:r>
    </w:p>
    <w:p w:rsidR="00C07F7D" w:rsidRPr="006242DC" w:rsidRDefault="00C07F7D" w:rsidP="00C07F7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242DC">
        <w:rPr>
          <w:rFonts w:eastAsiaTheme="minorHAnsi"/>
          <w:b/>
          <w:lang w:eastAsia="en-US"/>
        </w:rPr>
        <w:t xml:space="preserve">деятельности, развитие конкуренции и </w:t>
      </w:r>
      <w:proofErr w:type="gramStart"/>
      <w:r w:rsidRPr="006242DC">
        <w:rPr>
          <w:rFonts w:eastAsiaTheme="minorHAnsi"/>
          <w:b/>
          <w:lang w:eastAsia="en-US"/>
        </w:rPr>
        <w:t>негосударственного</w:t>
      </w:r>
      <w:proofErr w:type="gramEnd"/>
    </w:p>
    <w:p w:rsidR="00C07F7D" w:rsidRPr="006242DC" w:rsidRDefault="00C07F7D" w:rsidP="00C07F7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242DC">
        <w:rPr>
          <w:rFonts w:eastAsiaTheme="minorHAnsi"/>
          <w:b/>
          <w:lang w:eastAsia="en-US"/>
        </w:rPr>
        <w:t>сектора экономики»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 w:rsidRPr="006242DC">
        <w:t>на</w:t>
      </w:r>
      <w:proofErr w:type="gramEnd"/>
      <w:r w:rsidRPr="006242DC">
        <w:t xml:space="preserve">: 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формирование благоприятного инвестиционного климата; 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>развитие конкуренции, реализацию стандарта развития конкуренции; регулирование отношений в сфере предпринимательской деятельности;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развитие и применение инноваций в соответствии с ключевыми направлениями реализации Национальной технологической инициативы. </w:t>
      </w:r>
    </w:p>
    <w:p w:rsidR="00C07F7D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>Повышение производительности труда осуществляется путем: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</w:t>
      </w:r>
      <w:r w:rsidR="000414C8" w:rsidRPr="006242DC">
        <w:t>раты при работе с документацией.</w:t>
      </w:r>
    </w:p>
    <w:p w:rsidR="000414C8" w:rsidRPr="006242DC" w:rsidRDefault="000414C8" w:rsidP="00D84CC4">
      <w:pPr>
        <w:spacing w:before="100" w:beforeAutospacing="1" w:after="100" w:afterAutospacing="1"/>
        <w:ind w:firstLine="709"/>
        <w:contextualSpacing/>
        <w:jc w:val="both"/>
      </w:pPr>
    </w:p>
    <w:p w:rsidR="00F01B8C" w:rsidRPr="006242DC" w:rsidRDefault="000414C8" w:rsidP="00E46B02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Раздел 2. Механизм реализации мероприятий муниципальной программы</w:t>
      </w:r>
    </w:p>
    <w:p w:rsidR="00F01B8C" w:rsidRPr="006242DC" w:rsidRDefault="00F01B8C" w:rsidP="000414C8">
      <w:pPr>
        <w:spacing w:before="100" w:beforeAutospacing="1" w:after="100" w:afterAutospacing="1"/>
        <w:ind w:firstLine="709"/>
        <w:contextualSpacing/>
        <w:jc w:val="both"/>
      </w:pPr>
    </w:p>
    <w:p w:rsidR="004878CA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2.1.</w:t>
      </w:r>
      <w:r w:rsidR="00F01B8C" w:rsidRPr="006242DC">
        <w:t xml:space="preserve"> </w:t>
      </w:r>
      <w:r w:rsidRPr="006242DC">
        <w:t>Реализацию муниципальной программы осуществляет ответственный исполнитель – Управление экономического развития</w:t>
      </w:r>
      <w:r w:rsidR="00F01B8C" w:rsidRPr="006242DC">
        <w:t xml:space="preserve"> администрации Октябрьского района</w:t>
      </w:r>
      <w:r w:rsidRPr="006242DC">
        <w:t xml:space="preserve"> совместно с соисполнител</w:t>
      </w:r>
      <w:r w:rsidR="00F01B8C" w:rsidRPr="006242DC">
        <w:t>ем</w:t>
      </w:r>
      <w:r w:rsidRPr="006242DC">
        <w:t xml:space="preserve"> муниципальной программы</w:t>
      </w:r>
      <w:r w:rsidR="00921922" w:rsidRPr="006242DC">
        <w:t xml:space="preserve"> – администраци</w:t>
      </w:r>
      <w:r w:rsidR="005D0D55" w:rsidRPr="006242DC">
        <w:t>ей</w:t>
      </w:r>
      <w:r w:rsidR="00921922" w:rsidRPr="006242DC">
        <w:t xml:space="preserve"> городского поселения Октябрьское</w:t>
      </w:r>
      <w:r w:rsidRPr="006242DC">
        <w:t xml:space="preserve">. </w:t>
      </w:r>
    </w:p>
    <w:p w:rsidR="004878CA" w:rsidRPr="006242DC" w:rsidRDefault="004878CA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Управление экономического развития администрации Октябрьского района  обеспечивает разработку проекта муниципальной программы, ее согласование, внесение изменений в утвержденную муниципальную программу по соответствующим основаниям.</w:t>
      </w:r>
    </w:p>
    <w:p w:rsidR="004878CA" w:rsidRPr="006242DC" w:rsidRDefault="004878CA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Администрация городского поселения Октябрьское обеспечивает принятие правовых актов, подписание соглашений, муниципальных контрактов, договоров, протоколов о намерениях и иных документов, предусматривающих  финансирование программных мероприятий.</w:t>
      </w:r>
    </w:p>
    <w:p w:rsidR="00F01B8C" w:rsidRPr="006242DC" w:rsidRDefault="00051DB1" w:rsidP="000414C8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6242DC">
        <w:t>Ответственный исполнитель</w:t>
      </w:r>
      <w:r w:rsidR="004878CA" w:rsidRPr="006242DC">
        <w:t xml:space="preserve"> </w:t>
      </w:r>
      <w:r w:rsidRPr="006242DC">
        <w:t xml:space="preserve"> и соисполнитель Программы несут ответственность за своевременную и качественную ее реализацию, в том числе достижение целевых показателей, а также конечных результатов ее реализации, эффективное и целевое использование средств, осуществляют управление и контроль за реализацией </w:t>
      </w:r>
      <w:r w:rsidRPr="006242DC">
        <w:lastRenderedPageBreak/>
        <w:t>программных мероприятий, обеспечивают эффективное использование средств, выделяемых на реализацию Программы.</w:t>
      </w:r>
      <w:proofErr w:type="gramEnd"/>
    </w:p>
    <w:p w:rsidR="0043405F" w:rsidRPr="006242DC" w:rsidRDefault="0043405F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Финансовое обеспечение мероприятий муниципальной программы, устанавливается решением Совета </w:t>
      </w:r>
      <w:r w:rsidR="00626A4F" w:rsidRPr="006242DC">
        <w:t>депутатов городского поселения О</w:t>
      </w:r>
      <w:r w:rsidRPr="006242DC">
        <w:t>ктябрьское о бюджете на очередной финансовый год и плановый период.</w:t>
      </w:r>
    </w:p>
    <w:p w:rsidR="00472FFC" w:rsidRPr="006242DC" w:rsidRDefault="00613120" w:rsidP="0061312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242DC">
        <w:rPr>
          <w:bCs/>
        </w:rPr>
        <w:t>Реализация мероприятия «</w:t>
      </w:r>
      <w:r w:rsidRPr="006242DC">
        <w:rPr>
          <w:szCs w:val="20"/>
        </w:rPr>
        <w:t xml:space="preserve">Капитальный ремонт и ремонт автомобильных дорог местного значения» </w:t>
      </w:r>
      <w:r w:rsidRPr="006242DC">
        <w:rPr>
          <w:bCs/>
        </w:rPr>
        <w:t>осуществляется</w:t>
      </w:r>
      <w:r w:rsidR="00472FFC" w:rsidRPr="006242DC">
        <w:rPr>
          <w:bCs/>
        </w:rPr>
        <w:t xml:space="preserve"> за счет предоставления иных межбюджетных трансфертов на финансирование расходных обязательств по капитальному ремонту</w:t>
      </w:r>
      <w:r w:rsidR="005D0D55" w:rsidRPr="006242DC">
        <w:rPr>
          <w:bCs/>
        </w:rPr>
        <w:t>, ремонту</w:t>
      </w:r>
      <w:r w:rsidR="00472FFC" w:rsidRPr="006242DC">
        <w:rPr>
          <w:bCs/>
        </w:rPr>
        <w:t xml:space="preserve"> автомобильных дорог общего пользования местного значения на основании заключенных Соглашений на предоставление межбюджетных трансфертов из бюджета Октябрьского района и собственных средств городского поселения Октябрьское.</w:t>
      </w:r>
    </w:p>
    <w:p w:rsidR="005D0D55" w:rsidRPr="006242DC" w:rsidRDefault="005D0D55" w:rsidP="0061312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242DC">
        <w:rPr>
          <w:bCs/>
        </w:rPr>
        <w:t>Иные межбюджетные трансферты из бюджета Октябрьского района предоставляются на условиях и в порядке, установленными муниципальными правовыми актами администрации Октябрьского района.</w:t>
      </w:r>
    </w:p>
    <w:p w:rsidR="005D0D55" w:rsidRPr="006242DC" w:rsidRDefault="005D0D55" w:rsidP="0061312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242DC">
        <w:rPr>
          <w:bCs/>
        </w:rPr>
        <w:t>Финансирование мероприятий осуществляет отдел бухгалтерского учета и финансов администрации Октябрьского района в соответствии с заключенным соглашением.</w:t>
      </w:r>
    </w:p>
    <w:p w:rsidR="00921922" w:rsidRPr="006242DC" w:rsidRDefault="000414C8" w:rsidP="00921922">
      <w:pPr>
        <w:ind w:firstLine="708"/>
        <w:jc w:val="both"/>
      </w:pPr>
      <w:r w:rsidRPr="006242DC">
        <w:t xml:space="preserve">2.2. </w:t>
      </w:r>
      <w:r w:rsidR="00921922" w:rsidRPr="006242DC">
        <w:t xml:space="preserve">Внедрение технологий бережливого производства при реализации Программы возможно в соответствии с Концепцией «Бережливый регион </w:t>
      </w:r>
      <w:proofErr w:type="gramStart"/>
      <w:r w:rsidR="00921922" w:rsidRPr="006242DC">
        <w:t>в</w:t>
      </w:r>
      <w:proofErr w:type="gramEnd"/>
      <w:r w:rsidR="00921922" w:rsidRPr="006242DC">
        <w:t xml:space="preserve"> </w:t>
      </w:r>
      <w:proofErr w:type="gramStart"/>
      <w:r w:rsidR="00921922" w:rsidRPr="006242DC">
        <w:t>Ханты-Мансийском</w:t>
      </w:r>
      <w:proofErr w:type="gramEnd"/>
      <w:r w:rsidR="00921922" w:rsidRPr="006242DC">
        <w:t xml:space="preserve"> автономном округе – Югре», утвержденной распоряжением Правительства Ханты-Мансийского автономного округа – Югры от 19.08.2016 № 455-рп и постановлением администрации Октябрьского района от 14.03.2018 № 494 «О внедрении системы «бережливое производство».</w:t>
      </w:r>
    </w:p>
    <w:p w:rsidR="00F01B8C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 2.3. Муниципальной программой не предусмотрены мероприятия, которые предполагали бы вовлечение граждан в принятии решения о выборе приоритетов расходования бюджетных средств, в </w:t>
      </w:r>
      <w:r w:rsidR="00C221AE" w:rsidRPr="006242DC">
        <w:t>связи,</w:t>
      </w:r>
      <w:r w:rsidRPr="006242DC">
        <w:t xml:space="preserve"> с чем внедрение механизмов инициативного бюджетирования не предполагается. </w:t>
      </w:r>
    </w:p>
    <w:p w:rsidR="00921922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2.4. В целях эффективного исполнения мероприятий муниципальной программы используются следующие механизмы:</w:t>
      </w:r>
    </w:p>
    <w:p w:rsidR="0043405F" w:rsidRPr="006242DC" w:rsidRDefault="0043405F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- применение инструментов «бережливого производства», которое способствует ускорению принятия стратегических решений, улучшению взаимодействия между органами власти района;</w:t>
      </w:r>
    </w:p>
    <w:p w:rsidR="000414C8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 </w:t>
      </w:r>
      <w:r w:rsidR="0043405F" w:rsidRPr="006242DC">
        <w:t xml:space="preserve">- </w:t>
      </w:r>
      <w:r w:rsidR="00C221AE" w:rsidRPr="006242DC"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="0043405F" w:rsidRPr="006242DC">
        <w:t>ательством Российской Федерации.</w:t>
      </w:r>
    </w:p>
    <w:p w:rsidR="00E46B02" w:rsidRPr="006242DC" w:rsidRDefault="00E46B02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В процессе реализации муниципальной программы могут появиться риски. С целью минимизации рисков муниципальной программой запланированы меры по их преодолению (таблица 3).</w:t>
      </w:r>
    </w:p>
    <w:p w:rsidR="00C221AE" w:rsidRPr="006242DC" w:rsidRDefault="00C221AE" w:rsidP="000414C8">
      <w:pPr>
        <w:spacing w:before="100" w:beforeAutospacing="1" w:after="100" w:afterAutospacing="1"/>
        <w:ind w:firstLine="709"/>
        <w:contextualSpacing/>
        <w:jc w:val="both"/>
      </w:pPr>
    </w:p>
    <w:p w:rsidR="00C221AE" w:rsidRPr="006242DC" w:rsidRDefault="00C221AE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E46B02" w:rsidRPr="006242DC" w:rsidRDefault="00E46B02" w:rsidP="000414C8">
      <w:pPr>
        <w:spacing w:before="100" w:beforeAutospacing="1" w:after="100" w:afterAutospacing="1"/>
        <w:ind w:firstLine="709"/>
        <w:contextualSpacing/>
        <w:jc w:val="both"/>
        <w:sectPr w:rsidR="00E46B02" w:rsidRPr="006242DC" w:rsidSect="00CB4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right"/>
      </w:pPr>
      <w:r w:rsidRPr="006242DC">
        <w:lastRenderedPageBreak/>
        <w:t>Таблица 1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Целевые показатели муниципальной программы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center"/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541"/>
        <w:gridCol w:w="1845"/>
        <w:gridCol w:w="1134"/>
        <w:gridCol w:w="1134"/>
        <w:gridCol w:w="1134"/>
        <w:gridCol w:w="1134"/>
        <w:gridCol w:w="1134"/>
        <w:gridCol w:w="1134"/>
        <w:gridCol w:w="1843"/>
      </w:tblGrid>
      <w:tr w:rsidR="0015442F" w:rsidRPr="006242DC" w:rsidTr="00423D0D">
        <w:trPr>
          <w:trHeight w:val="1858"/>
        </w:trPr>
        <w:tc>
          <w:tcPr>
            <w:tcW w:w="464" w:type="dxa"/>
            <w:vMerge w:val="restart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№ показателя</w:t>
            </w: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Базовый показатель на начало реализации</w:t>
            </w:r>
            <w:r w:rsidR="00E46B02" w:rsidRPr="006242DC">
              <w:rPr>
                <w:color w:val="000000"/>
                <w:sz w:val="22"/>
                <w:szCs w:val="22"/>
              </w:rPr>
              <w:t xml:space="preserve"> муниципальной</w:t>
            </w:r>
            <w:r w:rsidRPr="006242DC">
              <w:rPr>
                <w:color w:val="000000"/>
                <w:sz w:val="22"/>
                <w:szCs w:val="22"/>
              </w:rPr>
              <w:t xml:space="preserve"> программы </w:t>
            </w:r>
          </w:p>
          <w:p w:rsidR="0015442F" w:rsidRPr="006242DC" w:rsidRDefault="0015442F" w:rsidP="0015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</w:rPr>
              <w:t>Значения показателя  по годам</w:t>
            </w: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442F" w:rsidRPr="006242DC" w:rsidRDefault="00E46B02" w:rsidP="0015442F">
            <w:pPr>
              <w:jc w:val="center"/>
              <w:rPr>
                <w:color w:val="000000"/>
              </w:rPr>
            </w:pPr>
            <w:r w:rsidRPr="006242DC">
              <w:t xml:space="preserve">Целевое  значение    </w:t>
            </w:r>
            <w:r w:rsidRPr="006242DC">
              <w:br/>
              <w:t xml:space="preserve">показателя на момент     </w:t>
            </w:r>
            <w:r w:rsidRPr="006242DC">
              <w:br/>
              <w:t xml:space="preserve">окончания   реализации муниципальной </w:t>
            </w:r>
            <w:r w:rsidRPr="006242DC">
              <w:br/>
              <w:t>программы</w:t>
            </w:r>
          </w:p>
        </w:tc>
      </w:tr>
      <w:tr w:rsidR="0015442F" w:rsidRPr="006242DC" w:rsidTr="00423D0D">
        <w:trPr>
          <w:trHeight w:val="640"/>
        </w:trPr>
        <w:tc>
          <w:tcPr>
            <w:tcW w:w="464" w:type="dxa"/>
            <w:vMerge/>
          </w:tcPr>
          <w:p w:rsidR="0015442F" w:rsidRPr="006242DC" w:rsidRDefault="0015442F" w:rsidP="00154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15442F" w:rsidRPr="006242DC" w:rsidRDefault="0015442F" w:rsidP="00154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5442F" w:rsidRPr="006242DC" w:rsidRDefault="0015442F" w:rsidP="00154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843" w:type="dxa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2030 гг.</w:t>
            </w:r>
          </w:p>
        </w:tc>
      </w:tr>
      <w:tr w:rsidR="0015442F" w:rsidRPr="006242DC" w:rsidTr="00423D0D">
        <w:trPr>
          <w:trHeight w:val="266"/>
        </w:trPr>
        <w:tc>
          <w:tcPr>
            <w:tcW w:w="46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1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D4440" w:rsidRPr="006242DC" w:rsidTr="001B49FE">
        <w:trPr>
          <w:trHeight w:val="1345"/>
        </w:trPr>
        <w:tc>
          <w:tcPr>
            <w:tcW w:w="464" w:type="dxa"/>
          </w:tcPr>
          <w:p w:rsidR="00DD4440" w:rsidRPr="006242DC" w:rsidRDefault="00DD4440" w:rsidP="004C58E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1" w:type="dxa"/>
          </w:tcPr>
          <w:p w:rsidR="00DD4440" w:rsidRPr="006242DC" w:rsidRDefault="00DD4440" w:rsidP="004C58E4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outlineLvl w:val="1"/>
            </w:pPr>
            <w:r w:rsidRPr="006242DC">
              <w:rPr>
                <w:sz w:val="22"/>
                <w:szCs w:val="22"/>
              </w:rPr>
              <w:t xml:space="preserve">Прирост площади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</w:t>
            </w:r>
            <w:r w:rsidRPr="006242DC">
              <w:rPr>
                <w:color w:val="000000"/>
                <w:sz w:val="22"/>
                <w:szCs w:val="22"/>
              </w:rPr>
              <w:t>(м</w:t>
            </w:r>
            <w:proofErr w:type="gramStart"/>
            <w:r w:rsidRPr="006242D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242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5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2385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2700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3100</w:t>
            </w:r>
          </w:p>
        </w:tc>
        <w:tc>
          <w:tcPr>
            <w:tcW w:w="1843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3600</w:t>
            </w:r>
          </w:p>
        </w:tc>
      </w:tr>
      <w:tr w:rsidR="00EB652A" w:rsidRPr="006242DC" w:rsidTr="00423D0D">
        <w:trPr>
          <w:trHeight w:val="1338"/>
        </w:trPr>
        <w:tc>
          <w:tcPr>
            <w:tcW w:w="464" w:type="dxa"/>
          </w:tcPr>
          <w:p w:rsidR="00EB652A" w:rsidRPr="006242DC" w:rsidRDefault="00DD4440" w:rsidP="004C58E4">
            <w:pPr>
              <w:jc w:val="center"/>
            </w:pPr>
            <w:r w:rsidRPr="006242DC">
              <w:rPr>
                <w:sz w:val="22"/>
                <w:szCs w:val="22"/>
              </w:rPr>
              <w:t>2</w:t>
            </w:r>
            <w:r w:rsidR="00EB652A" w:rsidRPr="006242DC">
              <w:rPr>
                <w:sz w:val="22"/>
                <w:szCs w:val="22"/>
              </w:rPr>
              <w:t>.</w:t>
            </w:r>
          </w:p>
        </w:tc>
        <w:tc>
          <w:tcPr>
            <w:tcW w:w="3541" w:type="dxa"/>
          </w:tcPr>
          <w:p w:rsidR="00EB652A" w:rsidRPr="006242DC" w:rsidRDefault="00EB652A" w:rsidP="004C58E4">
            <w:pPr>
              <w:rPr>
                <w:color w:val="000000"/>
              </w:rPr>
            </w:pPr>
            <w:r w:rsidRPr="006242DC">
              <w:rPr>
                <w:sz w:val="22"/>
                <w:szCs w:val="22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6242D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5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</w:rPr>
              <w:t>2</w:t>
            </w:r>
            <w:r w:rsidRPr="006242DC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45</w:t>
            </w:r>
          </w:p>
        </w:tc>
      </w:tr>
    </w:tbl>
    <w:p w:rsidR="00DD4440" w:rsidRPr="006242DC" w:rsidRDefault="0077280B" w:rsidP="0061312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2"/>
          <w:szCs w:val="22"/>
        </w:rPr>
      </w:pPr>
      <w:r w:rsidRPr="006242DC">
        <w:rPr>
          <w:color w:val="000000"/>
          <w:sz w:val="22"/>
          <w:szCs w:val="22"/>
        </w:rPr>
        <w:t xml:space="preserve">Показатель </w:t>
      </w:r>
      <w:r w:rsidR="00DD4440" w:rsidRPr="006242DC">
        <w:rPr>
          <w:color w:val="000000"/>
          <w:sz w:val="22"/>
          <w:szCs w:val="22"/>
        </w:rPr>
        <w:t>1</w:t>
      </w:r>
      <w:r w:rsidRPr="006242DC">
        <w:rPr>
          <w:color w:val="000000"/>
          <w:sz w:val="22"/>
          <w:szCs w:val="22"/>
        </w:rPr>
        <w:t xml:space="preserve"> </w:t>
      </w:r>
      <w:r w:rsidR="00613120" w:rsidRPr="006242DC">
        <w:rPr>
          <w:color w:val="000000"/>
          <w:sz w:val="22"/>
          <w:szCs w:val="22"/>
        </w:rPr>
        <w:t>–</w:t>
      </w:r>
      <w:r w:rsidRPr="006242DC">
        <w:rPr>
          <w:color w:val="000000"/>
          <w:sz w:val="22"/>
          <w:szCs w:val="22"/>
        </w:rPr>
        <w:t xml:space="preserve"> </w:t>
      </w:r>
      <w:r w:rsidR="00613120" w:rsidRPr="006242DC">
        <w:rPr>
          <w:color w:val="000000"/>
          <w:sz w:val="22"/>
          <w:szCs w:val="22"/>
        </w:rPr>
        <w:t>д</w:t>
      </w:r>
      <w:r w:rsidR="00613120" w:rsidRPr="006242DC">
        <w:rPr>
          <w:sz w:val="22"/>
          <w:szCs w:val="22"/>
        </w:rPr>
        <w:t xml:space="preserve">анный показатель </w:t>
      </w:r>
      <w:r w:rsidR="00613120" w:rsidRPr="006242DC">
        <w:rPr>
          <w:color w:val="000000"/>
          <w:sz w:val="22"/>
          <w:szCs w:val="22"/>
        </w:rPr>
        <w:t xml:space="preserve">является количественным, значение показателя рассчитывается исходя из фактической площади </w:t>
      </w:r>
      <w:r w:rsidR="000571B0" w:rsidRPr="006242DC">
        <w:rPr>
          <w:color w:val="000000"/>
          <w:sz w:val="22"/>
          <w:szCs w:val="22"/>
        </w:rPr>
        <w:t>отремонтированных</w:t>
      </w:r>
      <w:r w:rsidR="00613120" w:rsidRPr="006242DC">
        <w:rPr>
          <w:color w:val="000000"/>
          <w:sz w:val="22"/>
          <w:szCs w:val="22"/>
        </w:rPr>
        <w:t xml:space="preserve">  дорог в течение года.</w:t>
      </w:r>
    </w:p>
    <w:p w:rsidR="00613120" w:rsidRPr="006242DC" w:rsidRDefault="00613120" w:rsidP="00613120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  <w:r w:rsidRPr="006242DC">
        <w:rPr>
          <w:sz w:val="22"/>
          <w:szCs w:val="22"/>
        </w:rPr>
        <w:t xml:space="preserve">Показатель </w:t>
      </w:r>
      <w:r w:rsidR="00DD4440" w:rsidRPr="006242DC">
        <w:rPr>
          <w:sz w:val="22"/>
          <w:szCs w:val="22"/>
        </w:rPr>
        <w:t>2</w:t>
      </w:r>
      <w:r w:rsidR="0077280B" w:rsidRPr="006242DC">
        <w:rPr>
          <w:sz w:val="22"/>
          <w:szCs w:val="22"/>
        </w:rPr>
        <w:t xml:space="preserve"> – </w:t>
      </w:r>
      <w:r w:rsidRPr="006242DC">
        <w:rPr>
          <w:color w:val="000000"/>
          <w:sz w:val="22"/>
          <w:szCs w:val="22"/>
        </w:rPr>
        <w:t>р</w:t>
      </w:r>
      <w:r w:rsidRPr="006242DC">
        <w:rPr>
          <w:sz w:val="22"/>
          <w:szCs w:val="22"/>
        </w:rPr>
        <w:t>ассчитывается, как соотношение протяженности автомобильных дорог, соответствующих нормативным требованиям к транспортно</w:t>
      </w:r>
      <w:r w:rsidR="000571B0" w:rsidRPr="006242DC">
        <w:rPr>
          <w:sz w:val="22"/>
          <w:szCs w:val="22"/>
        </w:rPr>
        <w:t>-</w:t>
      </w:r>
      <w:r w:rsidRPr="006242DC">
        <w:rPr>
          <w:sz w:val="22"/>
          <w:szCs w:val="22"/>
        </w:rPr>
        <w:t>эксплуатационным показателям к общей протяженности дорог.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right"/>
      </w:pPr>
      <w:r w:rsidRPr="006242DC">
        <w:lastRenderedPageBreak/>
        <w:t>Таблица 2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Распределение финансовых ресурсов муниципальной программы</w:t>
      </w:r>
    </w:p>
    <w:p w:rsidR="009D474C" w:rsidRPr="006242DC" w:rsidRDefault="009D474C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848"/>
        <w:gridCol w:w="997"/>
        <w:gridCol w:w="1838"/>
        <w:gridCol w:w="1560"/>
        <w:gridCol w:w="1134"/>
        <w:gridCol w:w="1134"/>
        <w:gridCol w:w="992"/>
        <w:gridCol w:w="992"/>
        <w:gridCol w:w="992"/>
        <w:gridCol w:w="997"/>
        <w:gridCol w:w="992"/>
        <w:gridCol w:w="992"/>
      </w:tblGrid>
      <w:tr w:rsidR="00DD3860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242DC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DD3860" w:rsidRPr="006242DC" w:rsidTr="00E46B02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D3860" w:rsidRPr="006242DC" w:rsidTr="00E46B02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4440">
            <w:pPr>
              <w:spacing w:after="240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Капитальный ремонт и ремонт автомобильных дорог местного значения (1)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18 311,6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9 321,6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16 050,3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12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444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Содержание автомобильных дорог (2)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12 846,6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4 003,6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Бюджет Октябрьского </w:t>
            </w:r>
            <w:r w:rsidRPr="006242DC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12 846,6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4 003,6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444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Приобретение дорожных зн</w:t>
            </w:r>
            <w:r w:rsidR="001B49FE" w:rsidRPr="006242DC">
              <w:rPr>
                <w:color w:val="000000"/>
                <w:sz w:val="22"/>
                <w:szCs w:val="22"/>
              </w:rPr>
              <w:t>аков и краски для разметки (</w:t>
            </w:r>
            <w:r w:rsidR="00DD4440" w:rsidRPr="006242DC">
              <w:rPr>
                <w:color w:val="000000"/>
                <w:sz w:val="22"/>
                <w:szCs w:val="22"/>
              </w:rPr>
              <w:t>2</w:t>
            </w:r>
            <w:r w:rsidRPr="006242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7D5F8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7D5F8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31 558,2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13 725,2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16 050,3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44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15 507,9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6 664,9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3860" w:rsidRPr="006242DC" w:rsidTr="009D474C">
        <w:trPr>
          <w:trHeight w:val="541"/>
        </w:trPr>
        <w:tc>
          <w:tcPr>
            <w:tcW w:w="14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60" w:rsidRPr="006242DC" w:rsidRDefault="00DD3860" w:rsidP="009D474C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763B4" w:rsidRPr="006242DC" w:rsidTr="00F17FF8">
        <w:trPr>
          <w:trHeight w:val="300"/>
        </w:trPr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both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Управление экономического развития администрации Октябрьского района</w:t>
            </w:r>
          </w:p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300"/>
        </w:trPr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both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31 558,2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13 725,2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16 050,3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15 507,9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6 664,9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0120A" w:rsidRPr="006242DC" w:rsidRDefault="00C0120A" w:rsidP="00C0120A">
      <w:pPr>
        <w:ind w:firstLine="720"/>
        <w:jc w:val="right"/>
        <w:rPr>
          <w:szCs w:val="26"/>
        </w:rPr>
      </w:pPr>
      <w:r w:rsidRPr="006242DC">
        <w:rPr>
          <w:szCs w:val="26"/>
        </w:rPr>
        <w:lastRenderedPageBreak/>
        <w:t>Таблица 3</w:t>
      </w:r>
    </w:p>
    <w:p w:rsidR="00C0120A" w:rsidRPr="006242DC" w:rsidRDefault="00C0120A" w:rsidP="00C0120A">
      <w:pPr>
        <w:widowControl w:val="0"/>
        <w:autoSpaceDE w:val="0"/>
        <w:autoSpaceDN w:val="0"/>
        <w:jc w:val="center"/>
        <w:rPr>
          <w:b/>
          <w:szCs w:val="26"/>
        </w:rPr>
      </w:pPr>
      <w:r w:rsidRPr="006242DC">
        <w:rPr>
          <w:b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C0120A" w:rsidRPr="006242DC" w:rsidRDefault="00C0120A" w:rsidP="00C0120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858"/>
        <w:gridCol w:w="8940"/>
      </w:tblGrid>
      <w:tr w:rsidR="00C0120A" w:rsidRPr="006242DC" w:rsidTr="00B379A3">
        <w:tc>
          <w:tcPr>
            <w:tcW w:w="217" w:type="pct"/>
            <w:shd w:val="clear" w:color="auto" w:fill="auto"/>
            <w:hideMark/>
          </w:tcPr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 xml:space="preserve">№ </w:t>
            </w:r>
          </w:p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242DC">
              <w:rPr>
                <w:rFonts w:eastAsia="Calibri"/>
                <w:lang w:eastAsia="en-US"/>
              </w:rPr>
              <w:t>п</w:t>
            </w:r>
            <w:proofErr w:type="gramEnd"/>
            <w:r w:rsidRPr="006242D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3099" w:type="pct"/>
            <w:shd w:val="clear" w:color="auto" w:fill="auto"/>
            <w:vAlign w:val="center"/>
            <w:hideMark/>
          </w:tcPr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B379A3" w:rsidRPr="006242DC" w:rsidTr="00B379A3">
        <w:tc>
          <w:tcPr>
            <w:tcW w:w="217" w:type="pct"/>
            <w:shd w:val="clear" w:color="auto" w:fill="auto"/>
            <w:vAlign w:val="center"/>
          </w:tcPr>
          <w:p w:rsidR="00B379A3" w:rsidRPr="006242DC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B379A3" w:rsidRPr="006242DC" w:rsidRDefault="00B379A3" w:rsidP="00DA1BD9">
            <w:pPr>
              <w:pStyle w:val="aa"/>
              <w:ind w:left="0"/>
              <w:jc w:val="both"/>
            </w:pPr>
            <w:r w:rsidRPr="006242DC">
              <w:t>Финансовые риски:</w:t>
            </w:r>
          </w:p>
          <w:p w:rsidR="00B379A3" w:rsidRPr="006242DC" w:rsidRDefault="00B379A3" w:rsidP="00DA1BD9">
            <w:pPr>
              <w:pStyle w:val="aa"/>
              <w:ind w:left="0"/>
              <w:jc w:val="both"/>
            </w:pPr>
            <w:r w:rsidRPr="006242DC">
              <w:t>- растущая нестабильность и неопределенность в мировой экономике, замедление темпов роста экономики региона и, как следствие, сокращение объема финансовых средств, направленных на реализацию Программы, что в свою очередь связано с сокращением или прекращением реализации части программных мероприятий и не полным выполнением целевых показателей Программы;</w:t>
            </w:r>
          </w:p>
          <w:p w:rsidR="00B379A3" w:rsidRPr="006242DC" w:rsidRDefault="00B379A3" w:rsidP="00DA1BD9">
            <w:pPr>
              <w:widowControl w:val="0"/>
              <w:jc w:val="both"/>
            </w:pPr>
            <w:r w:rsidRPr="006242DC">
              <w:t>-       удорожание стоимости товаров (услуг), непрогнозируемые инфляционные процессы, что также может повлиять на сроки, объем и качество выполнения программных мероприятий.</w:t>
            </w:r>
          </w:p>
        </w:tc>
        <w:tc>
          <w:tcPr>
            <w:tcW w:w="3099" w:type="pct"/>
            <w:shd w:val="clear" w:color="auto" w:fill="auto"/>
          </w:tcPr>
          <w:p w:rsidR="00B379A3" w:rsidRPr="006242DC" w:rsidRDefault="00B379A3" w:rsidP="00B379A3">
            <w:pPr>
              <w:widowControl w:val="0"/>
              <w:shd w:val="clear" w:color="auto" w:fill="FFFFFF"/>
              <w:jc w:val="both"/>
            </w:pPr>
            <w:r w:rsidRPr="006242DC">
              <w:t>В целях минимизации финансовых рисков предполагается:</w:t>
            </w:r>
          </w:p>
          <w:p w:rsidR="00B379A3" w:rsidRPr="006242DC" w:rsidRDefault="00B379A3" w:rsidP="00B379A3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>- ежегодное уточнение финансовых средств, предусмотренных на реализацию программных мероприятий,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B379A3" w:rsidRPr="006242DC" w:rsidRDefault="00B379A3" w:rsidP="00B379A3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>- планирование бюджетных расходов с применением методик оценки эффективности бюджетных расходов.</w:t>
            </w:r>
          </w:p>
          <w:p w:rsidR="00B379A3" w:rsidRPr="006242DC" w:rsidRDefault="00B379A3" w:rsidP="00DA1BD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79A3" w:rsidRPr="006242DC" w:rsidTr="00B379A3">
        <w:tc>
          <w:tcPr>
            <w:tcW w:w="217" w:type="pct"/>
            <w:shd w:val="clear" w:color="auto" w:fill="auto"/>
            <w:vAlign w:val="center"/>
            <w:hideMark/>
          </w:tcPr>
          <w:p w:rsidR="00B379A3" w:rsidRPr="006242DC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B379A3" w:rsidRPr="006242DC" w:rsidRDefault="00B379A3" w:rsidP="00DA1BD9">
            <w:pPr>
              <w:widowControl w:val="0"/>
              <w:shd w:val="clear" w:color="auto" w:fill="FFFFFF"/>
              <w:jc w:val="both"/>
            </w:pPr>
            <w:r w:rsidRPr="006242DC">
              <w:t>Правовые риски связаны с изменением законодательства Российской Федерации и законодательства Ханты-Мансийского автономного округа – Югры,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ее программных мероприятий.</w:t>
            </w:r>
          </w:p>
        </w:tc>
        <w:tc>
          <w:tcPr>
            <w:tcW w:w="3099" w:type="pct"/>
            <w:shd w:val="clear" w:color="auto" w:fill="auto"/>
          </w:tcPr>
          <w:p w:rsidR="00B379A3" w:rsidRPr="006242DC" w:rsidRDefault="00B379A3" w:rsidP="00DA1BD9">
            <w:pPr>
              <w:widowControl w:val="0"/>
              <w:shd w:val="clear" w:color="auto" w:fill="FFFFFF"/>
              <w:jc w:val="both"/>
            </w:pPr>
            <w:proofErr w:type="gramStart"/>
            <w:r w:rsidRPr="006242DC">
              <w:t>В целях минимизации правовых рисков на этапе согласования проекта Программы планируется привлечь для рассмотрения и подготовки предложений органы местного самоуправления поселения в составе Октябрьского района, организации Октябрьского района, население, общественные организации путем размещения проекта Программы на официальном веб-сайте Октябрьского района в сети Интернет.</w:t>
            </w:r>
            <w:proofErr w:type="gramEnd"/>
          </w:p>
          <w:p w:rsidR="00B379A3" w:rsidRPr="006242DC" w:rsidRDefault="00B379A3" w:rsidP="00DA1BD9">
            <w:pPr>
              <w:pStyle w:val="aa"/>
              <w:ind w:left="0"/>
              <w:jc w:val="center"/>
            </w:pPr>
          </w:p>
        </w:tc>
      </w:tr>
      <w:tr w:rsidR="00B379A3" w:rsidRPr="006242DC" w:rsidTr="00B379A3">
        <w:tc>
          <w:tcPr>
            <w:tcW w:w="217" w:type="pct"/>
            <w:shd w:val="clear" w:color="auto" w:fill="auto"/>
            <w:vAlign w:val="center"/>
            <w:hideMark/>
          </w:tcPr>
          <w:p w:rsidR="00B379A3" w:rsidRPr="006242DC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B379A3" w:rsidRPr="006242DC" w:rsidRDefault="00B379A3" w:rsidP="00DA1BD9">
            <w:pPr>
              <w:pStyle w:val="aa"/>
              <w:ind w:left="0"/>
              <w:jc w:val="both"/>
            </w:pPr>
            <w:r w:rsidRPr="006242DC">
              <w:t xml:space="preserve">Административные риски связаны с неэффективным управлением реализацией Программы, нарушением планируемых </w:t>
            </w:r>
            <w:r w:rsidRPr="006242DC">
              <w:lastRenderedPageBreak/>
              <w:t>сроков ее реализации,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</w:t>
            </w:r>
          </w:p>
        </w:tc>
        <w:tc>
          <w:tcPr>
            <w:tcW w:w="3099" w:type="pct"/>
            <w:shd w:val="clear" w:color="auto" w:fill="auto"/>
          </w:tcPr>
          <w:p w:rsidR="00B379A3" w:rsidRPr="006242DC" w:rsidRDefault="00B379A3" w:rsidP="00DA1BD9">
            <w:pPr>
              <w:widowControl w:val="0"/>
              <w:shd w:val="clear" w:color="auto" w:fill="FFFFFF"/>
              <w:jc w:val="both"/>
            </w:pPr>
            <w:r w:rsidRPr="006242DC">
              <w:lastRenderedPageBreak/>
              <w:t>В целях минимизации административных рисков планируется:</w:t>
            </w:r>
          </w:p>
          <w:p w:rsidR="00B379A3" w:rsidRPr="006242DC" w:rsidRDefault="00B379A3" w:rsidP="00DA1BD9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 xml:space="preserve">- повышение </w:t>
            </w:r>
            <w:proofErr w:type="gramStart"/>
            <w:r w:rsidRPr="006242DC">
              <w:t>эффективности взаимодействия участников реализации Программы</w:t>
            </w:r>
            <w:proofErr w:type="gramEnd"/>
            <w:r w:rsidRPr="006242DC">
              <w:t>;</w:t>
            </w:r>
          </w:p>
          <w:p w:rsidR="00B379A3" w:rsidRPr="006242DC" w:rsidRDefault="00B379A3" w:rsidP="00DA1BD9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lastRenderedPageBreak/>
              <w:t>- своевременная корректировка программных мероприятий;</w:t>
            </w:r>
          </w:p>
          <w:p w:rsidR="00B379A3" w:rsidRPr="006242DC" w:rsidRDefault="00B379A3" w:rsidP="00DA1BD9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>-   рациональное использование имеющихся материальных и нематериальных ресурсов;</w:t>
            </w:r>
          </w:p>
          <w:p w:rsidR="00B379A3" w:rsidRPr="006242DC" w:rsidRDefault="00B379A3" w:rsidP="00DA1BD9">
            <w:pPr>
              <w:widowControl w:val="0"/>
              <w:ind w:firstLine="720"/>
              <w:jc w:val="both"/>
              <w:rPr>
                <w:b/>
                <w:color w:val="000000"/>
              </w:rPr>
            </w:pPr>
            <w:r w:rsidRPr="006242DC">
              <w:t>- повышение ответственности за использование ресурсов, принятие ключевых решений в определении путей и методов реализации Программы.</w:t>
            </w:r>
            <w:r w:rsidRPr="006242DC">
              <w:rPr>
                <w:b/>
                <w:color w:val="000000"/>
              </w:rPr>
              <w:t xml:space="preserve"> </w:t>
            </w:r>
          </w:p>
        </w:tc>
      </w:tr>
    </w:tbl>
    <w:p w:rsidR="00C0120A" w:rsidRPr="006242DC" w:rsidRDefault="00C0120A" w:rsidP="0015442F">
      <w:pPr>
        <w:spacing w:before="100" w:beforeAutospacing="1" w:after="100" w:afterAutospacing="1"/>
        <w:ind w:firstLine="709"/>
        <w:contextualSpacing/>
        <w:jc w:val="both"/>
      </w:pPr>
    </w:p>
    <w:p w:rsidR="00B379A3" w:rsidRPr="006242DC" w:rsidRDefault="00B379A3" w:rsidP="00B379A3">
      <w:pPr>
        <w:shd w:val="clear" w:color="auto" w:fill="FFFFFF" w:themeFill="background1"/>
        <w:jc w:val="right"/>
      </w:pPr>
      <w:r w:rsidRPr="006242DC">
        <w:t xml:space="preserve">    </w:t>
      </w: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  <w:r w:rsidRPr="006242DC">
        <w:lastRenderedPageBreak/>
        <w:t>Таблица 4</w:t>
      </w:r>
    </w:p>
    <w:p w:rsidR="00B379A3" w:rsidRPr="006242DC" w:rsidRDefault="00B379A3" w:rsidP="00B379A3">
      <w:pPr>
        <w:pStyle w:val="a4"/>
        <w:shd w:val="clear" w:color="auto" w:fill="FFFFFF" w:themeFill="background1"/>
        <w:tabs>
          <w:tab w:val="left" w:pos="1134"/>
        </w:tabs>
        <w:ind w:right="-1" w:firstLine="0"/>
        <w:jc w:val="center"/>
        <w:rPr>
          <w:b/>
        </w:rPr>
      </w:pPr>
      <w:r w:rsidRPr="006242DC">
        <w:rPr>
          <w:b/>
        </w:rPr>
        <w:t>Направления мероприятий муниципальной программы</w:t>
      </w:r>
    </w:p>
    <w:tbl>
      <w:tblPr>
        <w:tblStyle w:val="ab"/>
        <w:tblW w:w="15360" w:type="dxa"/>
        <w:tblInd w:w="-743" w:type="dxa"/>
        <w:tblLook w:val="04A0" w:firstRow="1" w:lastRow="0" w:firstColumn="1" w:lastColumn="0" w:noHBand="0" w:noVBand="1"/>
      </w:tblPr>
      <w:tblGrid>
        <w:gridCol w:w="709"/>
        <w:gridCol w:w="26"/>
        <w:gridCol w:w="3802"/>
        <w:gridCol w:w="4536"/>
        <w:gridCol w:w="6258"/>
        <w:gridCol w:w="8"/>
        <w:gridCol w:w="21"/>
      </w:tblGrid>
      <w:tr w:rsidR="00B379A3" w:rsidRPr="006242DC" w:rsidTr="00C60913">
        <w:trPr>
          <w:trHeight w:val="522"/>
        </w:trPr>
        <w:tc>
          <w:tcPr>
            <w:tcW w:w="709" w:type="dxa"/>
            <w:vMerge w:val="restart"/>
          </w:tcPr>
          <w:p w:rsidR="0046392E" w:rsidRPr="006242DC" w:rsidRDefault="0046392E" w:rsidP="00DA1BD9">
            <w:pPr>
              <w:shd w:val="clear" w:color="auto" w:fill="FFFFFF" w:themeFill="background1"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jc w:val="center"/>
            </w:pPr>
            <w:r w:rsidRPr="006242DC">
              <w:t xml:space="preserve">№ </w:t>
            </w:r>
            <w:proofErr w:type="gramStart"/>
            <w:r w:rsidRPr="006242DC">
              <w:t>п</w:t>
            </w:r>
            <w:proofErr w:type="gramEnd"/>
            <w:r w:rsidRPr="006242DC">
              <w:rPr>
                <w:lang w:val="en-US"/>
              </w:rPr>
              <w:t>/</w:t>
            </w:r>
            <w:r w:rsidRPr="006242DC">
              <w:t>п</w:t>
            </w:r>
          </w:p>
        </w:tc>
        <w:tc>
          <w:tcPr>
            <w:tcW w:w="14651" w:type="dxa"/>
            <w:gridSpan w:val="6"/>
          </w:tcPr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>Основные мероприятия</w:t>
            </w:r>
          </w:p>
        </w:tc>
      </w:tr>
      <w:tr w:rsidR="00B379A3" w:rsidRPr="006242DC" w:rsidTr="00C60913">
        <w:trPr>
          <w:gridAfter w:val="2"/>
          <w:wAfter w:w="29" w:type="dxa"/>
          <w:trHeight w:val="1205"/>
        </w:trPr>
        <w:tc>
          <w:tcPr>
            <w:tcW w:w="709" w:type="dxa"/>
            <w:vMerge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>Наименование</w:t>
            </w:r>
          </w:p>
        </w:tc>
        <w:tc>
          <w:tcPr>
            <w:tcW w:w="4536" w:type="dxa"/>
          </w:tcPr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>Направление расходов</w:t>
            </w:r>
          </w:p>
        </w:tc>
        <w:tc>
          <w:tcPr>
            <w:tcW w:w="6258" w:type="dxa"/>
          </w:tcPr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 xml:space="preserve">Наименование порядка, </w:t>
            </w: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proofErr w:type="gramStart"/>
            <w:r w:rsidRPr="006242DC">
              <w:t xml:space="preserve">номер приложения (при </w:t>
            </w:r>
            <w:proofErr w:type="gramEnd"/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proofErr w:type="gramStart"/>
            <w:r w:rsidRPr="006242DC">
              <w:t>наличии</w:t>
            </w:r>
            <w:proofErr w:type="gramEnd"/>
            <w:r w:rsidRPr="006242DC">
              <w:t>)</w:t>
            </w:r>
            <w:r w:rsidRPr="006242DC">
              <w:rPr>
                <w:lang w:eastAsia="en-US"/>
              </w:rPr>
              <w:t xml:space="preserve">, реквизиты </w:t>
            </w: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r w:rsidRPr="006242DC">
              <w:rPr>
                <w:lang w:eastAsia="en-US"/>
              </w:rPr>
              <w:t xml:space="preserve">нормативного правового акта, наименование портфеля </w:t>
            </w:r>
          </w:p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b/>
              </w:rPr>
            </w:pPr>
            <w:r w:rsidRPr="006242DC">
              <w:rPr>
                <w:lang w:eastAsia="en-US"/>
              </w:rPr>
              <w:t>проектов (проекта))</w:t>
            </w:r>
            <w:r w:rsidRPr="006242DC">
              <w:rPr>
                <w:vertAlign w:val="superscript"/>
                <w:lang w:eastAsia="en-US"/>
              </w:rPr>
              <w:t>*</w:t>
            </w:r>
          </w:p>
        </w:tc>
      </w:tr>
      <w:tr w:rsidR="00B379A3" w:rsidRPr="006242DC" w:rsidTr="00C60913">
        <w:trPr>
          <w:gridAfter w:val="2"/>
          <w:wAfter w:w="29" w:type="dxa"/>
          <w:trHeight w:val="198"/>
        </w:trPr>
        <w:tc>
          <w:tcPr>
            <w:tcW w:w="709" w:type="dxa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3</w:t>
            </w:r>
          </w:p>
        </w:tc>
        <w:tc>
          <w:tcPr>
            <w:tcW w:w="6258" w:type="dxa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4</w:t>
            </w:r>
          </w:p>
        </w:tc>
      </w:tr>
      <w:tr w:rsidR="00B379A3" w:rsidRPr="006242DC" w:rsidTr="00C60913">
        <w:trPr>
          <w:trHeight w:val="519"/>
        </w:trPr>
        <w:tc>
          <w:tcPr>
            <w:tcW w:w="15360" w:type="dxa"/>
            <w:gridSpan w:val="7"/>
          </w:tcPr>
          <w:p w:rsidR="00B379A3" w:rsidRPr="006242DC" w:rsidRDefault="00B379A3" w:rsidP="00B75DB4">
            <w:pPr>
              <w:shd w:val="clear" w:color="auto" w:fill="FFFFFF" w:themeFill="background1"/>
              <w:jc w:val="center"/>
            </w:pPr>
            <w:r w:rsidRPr="006242DC">
              <w:t xml:space="preserve">Цель: </w:t>
            </w:r>
            <w:r w:rsidR="00613120" w:rsidRPr="006242DC">
              <w:t>Повышение благоустройства, качества и технического состояния дорог до уровня соответствующ</w:t>
            </w:r>
            <w:r w:rsidR="00B75DB4" w:rsidRPr="006242DC">
              <w:t>его</w:t>
            </w:r>
            <w:r w:rsidR="00613120" w:rsidRPr="006242DC">
              <w:t xml:space="preserve"> нормативны</w:t>
            </w:r>
            <w:r w:rsidR="00B75DB4" w:rsidRPr="006242DC">
              <w:t>м</w:t>
            </w:r>
            <w:r w:rsidR="00613120" w:rsidRPr="006242DC">
              <w:t xml:space="preserve"> требовани</w:t>
            </w:r>
            <w:r w:rsidR="00B75DB4" w:rsidRPr="006242DC">
              <w:t>ям</w:t>
            </w:r>
            <w:r w:rsidR="00613120" w:rsidRPr="006242DC">
              <w:t>, обеспечение безопасности дорожного движения на дорогах и улицах поселения</w:t>
            </w:r>
          </w:p>
        </w:tc>
      </w:tr>
      <w:tr w:rsidR="00B379A3" w:rsidRPr="006242DC" w:rsidTr="00C60913">
        <w:trPr>
          <w:trHeight w:val="583"/>
        </w:trPr>
        <w:tc>
          <w:tcPr>
            <w:tcW w:w="15360" w:type="dxa"/>
            <w:gridSpan w:val="7"/>
          </w:tcPr>
          <w:p w:rsidR="00B379A3" w:rsidRPr="006242DC" w:rsidRDefault="00B379A3" w:rsidP="00DC4BE1">
            <w:pPr>
              <w:jc w:val="center"/>
            </w:pPr>
            <w:r w:rsidRPr="006242DC">
              <w:t>Задача 1: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DD4440" w:rsidRPr="006242DC" w:rsidRDefault="00DD4440" w:rsidP="00DC4BE1">
            <w:pPr>
              <w:jc w:val="center"/>
            </w:pPr>
            <w:r w:rsidRPr="006242DC">
              <w:t xml:space="preserve">Задача 2: Обеспечение </w:t>
            </w:r>
            <w:proofErr w:type="gramStart"/>
            <w:r w:rsidRPr="006242DC">
              <w:t>безопасности функционирования сети автомобильных дорог общего пользования</w:t>
            </w:r>
            <w:proofErr w:type="gramEnd"/>
            <w:r w:rsidRPr="006242DC">
              <w:t>.</w:t>
            </w:r>
          </w:p>
          <w:p w:rsidR="00B379A3" w:rsidRPr="006242DC" w:rsidRDefault="00B379A3" w:rsidP="00DA1BD9">
            <w:pPr>
              <w:shd w:val="clear" w:color="auto" w:fill="FFFFFF" w:themeFill="background1"/>
              <w:jc w:val="center"/>
            </w:pPr>
          </w:p>
        </w:tc>
      </w:tr>
      <w:tr w:rsidR="00B379A3" w:rsidRPr="006242DC" w:rsidTr="00C60913">
        <w:trPr>
          <w:trHeight w:val="583"/>
        </w:trPr>
        <w:tc>
          <w:tcPr>
            <w:tcW w:w="709" w:type="dxa"/>
          </w:tcPr>
          <w:p w:rsidR="00B379A3" w:rsidRPr="006242DC" w:rsidRDefault="00DC4BE1" w:rsidP="00B379A3">
            <w:pPr>
              <w:jc w:val="both"/>
            </w:pPr>
            <w:r w:rsidRPr="006242DC">
              <w:t>1.</w:t>
            </w:r>
          </w:p>
        </w:tc>
        <w:tc>
          <w:tcPr>
            <w:tcW w:w="3828" w:type="dxa"/>
            <w:gridSpan w:val="2"/>
          </w:tcPr>
          <w:p w:rsidR="00B379A3" w:rsidRPr="006242DC" w:rsidRDefault="00DC4BE1" w:rsidP="00DD4440">
            <w:pPr>
              <w:jc w:val="both"/>
            </w:pPr>
            <w:r w:rsidRPr="006242DC">
              <w:rPr>
                <w:color w:val="000000"/>
              </w:rPr>
              <w:t>Капитальный ремонт и ремонт автомобильных дорог местного значения (</w:t>
            </w:r>
            <w:r w:rsidR="00C763B4" w:rsidRPr="006242DC">
              <w:rPr>
                <w:color w:val="000000"/>
              </w:rPr>
              <w:t>1</w:t>
            </w:r>
            <w:r w:rsidRPr="006242DC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Мероприятие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Муниципальные контракты по капитальному ремонту и ремонту автомобильных дорог общего пользования местного значения.</w:t>
            </w:r>
          </w:p>
          <w:p w:rsidR="00B379A3" w:rsidRPr="006242DC" w:rsidRDefault="00B379A3" w:rsidP="00ED3895">
            <w:pPr>
              <w:jc w:val="both"/>
            </w:pPr>
          </w:p>
        </w:tc>
        <w:tc>
          <w:tcPr>
            <w:tcW w:w="6287" w:type="dxa"/>
            <w:gridSpan w:val="3"/>
          </w:tcPr>
          <w:p w:rsidR="00B379A3" w:rsidRPr="006242DC" w:rsidRDefault="00C60913" w:rsidP="00B75DB4">
            <w:pPr>
              <w:pStyle w:val="Default"/>
              <w:rPr>
                <w:sz w:val="23"/>
                <w:szCs w:val="23"/>
              </w:rPr>
            </w:pPr>
            <w:r w:rsidRPr="006242DC">
              <w:rPr>
                <w:sz w:val="23"/>
                <w:szCs w:val="23"/>
              </w:rPr>
              <w:t xml:space="preserve">    </w:t>
            </w:r>
            <w:proofErr w:type="gramStart"/>
            <w:r w:rsidR="00B75DB4" w:rsidRPr="006242DC">
              <w:rPr>
                <w:sz w:val="23"/>
                <w:szCs w:val="23"/>
              </w:rPr>
              <w:t>Приложение № 4 «Порядок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автомобильных дорог общего пользования местного значения, на содержание автомобильных дорог»</w:t>
            </w:r>
            <w:r w:rsidRPr="006242DC">
              <w:rPr>
                <w:sz w:val="23"/>
                <w:szCs w:val="23"/>
              </w:rPr>
              <w:t xml:space="preserve"> </w:t>
            </w:r>
            <w:r w:rsidR="00B75DB4" w:rsidRPr="006242DC">
              <w:rPr>
                <w:sz w:val="23"/>
                <w:szCs w:val="23"/>
              </w:rPr>
              <w:t xml:space="preserve">к постановлению администрации Октябрьского района от «26» ноября 2018 г. № 2656 </w:t>
            </w:r>
            <w:r w:rsidR="00B75DB4" w:rsidRPr="006242DC">
              <w:t xml:space="preserve"> </w:t>
            </w:r>
            <w:r w:rsidR="00B75DB4" w:rsidRPr="006242DC">
              <w:rPr>
                <w:sz w:val="23"/>
                <w:szCs w:val="23"/>
              </w:rPr>
              <w:t>«Об утверждении муниципальной программы «Современная транспортная система в муниципальном образовании Октябрьский район»;</w:t>
            </w:r>
            <w:proofErr w:type="gramEnd"/>
          </w:p>
          <w:p w:rsidR="00B75DB4" w:rsidRPr="006242DC" w:rsidRDefault="00C60913" w:rsidP="00C60913">
            <w:pPr>
              <w:pStyle w:val="Default"/>
            </w:pPr>
            <w:r w:rsidRPr="006242DC">
              <w:rPr>
                <w:sz w:val="23"/>
                <w:szCs w:val="23"/>
              </w:rPr>
              <w:t xml:space="preserve">    П</w:t>
            </w:r>
            <w:r w:rsidR="00B75DB4" w:rsidRPr="006242DC">
              <w:rPr>
                <w:sz w:val="23"/>
                <w:szCs w:val="23"/>
              </w:rPr>
              <w:t>остановлени</w:t>
            </w:r>
            <w:r w:rsidRPr="006242DC">
              <w:rPr>
                <w:sz w:val="23"/>
                <w:szCs w:val="23"/>
              </w:rPr>
              <w:t>е</w:t>
            </w:r>
            <w:r w:rsidR="00B75DB4" w:rsidRPr="006242DC">
              <w:rPr>
                <w:sz w:val="23"/>
                <w:szCs w:val="23"/>
              </w:rPr>
              <w:t xml:space="preserve"> администрации Октябрьского района от «</w:t>
            </w:r>
            <w:r w:rsidRPr="006242DC">
              <w:rPr>
                <w:sz w:val="23"/>
                <w:szCs w:val="23"/>
              </w:rPr>
              <w:t>19</w:t>
            </w:r>
            <w:r w:rsidR="00B75DB4" w:rsidRPr="006242DC">
              <w:rPr>
                <w:sz w:val="23"/>
                <w:szCs w:val="23"/>
              </w:rPr>
              <w:t>» ноября 2018 г. № 2</w:t>
            </w:r>
            <w:r w:rsidRPr="006242DC">
              <w:rPr>
                <w:sz w:val="23"/>
                <w:szCs w:val="23"/>
              </w:rPr>
              <w:t>587</w:t>
            </w:r>
            <w:r w:rsidR="00B75DB4" w:rsidRPr="006242DC">
              <w:rPr>
                <w:sz w:val="23"/>
                <w:szCs w:val="23"/>
              </w:rPr>
              <w:t xml:space="preserve"> </w:t>
            </w:r>
            <w:r w:rsidR="00B75DB4" w:rsidRPr="006242DC">
              <w:t>«Об утверждении  муниципальной программы «Осуществление поселком городского типа Октябрьское функций административного центра в муниципальном образовании Октябрьский район»</w:t>
            </w:r>
          </w:p>
        </w:tc>
      </w:tr>
      <w:tr w:rsidR="00DC4BE1" w:rsidRPr="006242DC" w:rsidTr="00C60913">
        <w:trPr>
          <w:trHeight w:val="583"/>
        </w:trPr>
        <w:tc>
          <w:tcPr>
            <w:tcW w:w="709" w:type="dxa"/>
          </w:tcPr>
          <w:p w:rsidR="00DC4BE1" w:rsidRPr="006242DC" w:rsidRDefault="00DC4BE1" w:rsidP="00B379A3">
            <w:pPr>
              <w:jc w:val="both"/>
            </w:pPr>
            <w:r w:rsidRPr="006242DC">
              <w:t>2.</w:t>
            </w:r>
          </w:p>
        </w:tc>
        <w:tc>
          <w:tcPr>
            <w:tcW w:w="3828" w:type="dxa"/>
            <w:gridSpan w:val="2"/>
          </w:tcPr>
          <w:p w:rsidR="00DC4BE1" w:rsidRPr="006242DC" w:rsidRDefault="00DC4BE1" w:rsidP="00DD4440">
            <w:pPr>
              <w:jc w:val="both"/>
              <w:rPr>
                <w:color w:val="000000"/>
              </w:rPr>
            </w:pPr>
            <w:r w:rsidRPr="006242DC">
              <w:rPr>
                <w:color w:val="000000"/>
              </w:rPr>
              <w:t>Содержание автомобильных дорог (2)</w:t>
            </w:r>
          </w:p>
        </w:tc>
        <w:tc>
          <w:tcPr>
            <w:tcW w:w="4536" w:type="dxa"/>
          </w:tcPr>
          <w:p w:rsidR="00160628" w:rsidRPr="006242DC" w:rsidRDefault="00160628" w:rsidP="00B379A3">
            <w:pPr>
              <w:jc w:val="both"/>
            </w:pPr>
            <w:r w:rsidRPr="006242DC">
              <w:t xml:space="preserve">Проведение комплекса работ по поддержанию надлежащего технического состояния автомобильной дороги и </w:t>
            </w:r>
            <w:r w:rsidRPr="006242DC">
              <w:lastRenderedPageBreak/>
              <w:t>искусственных сооружений, оценке их технического состояния, а также по организации и обеспечению безопасности дорожного движения.</w:t>
            </w:r>
          </w:p>
          <w:p w:rsidR="00051DB1" w:rsidRPr="006242DC" w:rsidRDefault="00051DB1" w:rsidP="00051DB1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 xml:space="preserve">- уборка снега и </w:t>
            </w:r>
            <w:proofErr w:type="spellStart"/>
            <w:r w:rsidRPr="006242DC">
              <w:rPr>
                <w:rFonts w:eastAsia="Calibri"/>
                <w:lang w:eastAsia="en-US"/>
              </w:rPr>
              <w:t>грейдирование</w:t>
            </w:r>
            <w:proofErr w:type="spellEnd"/>
            <w:r w:rsidRPr="006242DC">
              <w:rPr>
                <w:rFonts w:eastAsia="Calibri"/>
                <w:lang w:eastAsia="en-US"/>
              </w:rPr>
              <w:t xml:space="preserve"> автомобильных дорог.</w:t>
            </w:r>
          </w:p>
          <w:p w:rsidR="00DC4BE1" w:rsidRPr="006242DC" w:rsidRDefault="00CE44E0" w:rsidP="00B379A3">
            <w:pPr>
              <w:jc w:val="both"/>
            </w:pPr>
            <w:r w:rsidRPr="006242DC">
              <w:t>Муниципальные контракты на выполнение работ по содержанию автомобильных дорог.</w:t>
            </w:r>
          </w:p>
        </w:tc>
        <w:tc>
          <w:tcPr>
            <w:tcW w:w="6287" w:type="dxa"/>
            <w:gridSpan w:val="3"/>
          </w:tcPr>
          <w:p w:rsidR="00DC4BE1" w:rsidRPr="006242DC" w:rsidRDefault="00DC4BE1" w:rsidP="00B379A3">
            <w:pPr>
              <w:jc w:val="both"/>
            </w:pPr>
          </w:p>
        </w:tc>
      </w:tr>
      <w:tr w:rsidR="0046392E" w:rsidTr="00C60913">
        <w:trPr>
          <w:gridAfter w:val="1"/>
          <w:wAfter w:w="21" w:type="dxa"/>
          <w:trHeight w:val="583"/>
        </w:trPr>
        <w:tc>
          <w:tcPr>
            <w:tcW w:w="735" w:type="dxa"/>
            <w:gridSpan w:val="2"/>
          </w:tcPr>
          <w:p w:rsidR="0046392E" w:rsidRPr="006242DC" w:rsidRDefault="00DD4440" w:rsidP="00DC4BE1">
            <w:pPr>
              <w:jc w:val="center"/>
            </w:pPr>
            <w:r w:rsidRPr="006242DC">
              <w:lastRenderedPageBreak/>
              <w:t>3.</w:t>
            </w:r>
          </w:p>
        </w:tc>
        <w:tc>
          <w:tcPr>
            <w:tcW w:w="3802" w:type="dxa"/>
          </w:tcPr>
          <w:p w:rsidR="0046392E" w:rsidRPr="006242DC" w:rsidRDefault="0046392E" w:rsidP="00DD4440">
            <w:r w:rsidRPr="006242DC">
              <w:rPr>
                <w:color w:val="000000"/>
              </w:rPr>
              <w:t>Приобретение дорожных знаков и краски для разметки (</w:t>
            </w:r>
            <w:r w:rsidR="00DD4440" w:rsidRPr="006242DC">
              <w:rPr>
                <w:color w:val="000000"/>
              </w:rPr>
              <w:t>2</w:t>
            </w:r>
            <w:r w:rsidRPr="006242DC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Мероприятие направленно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Направление расходов: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- приобретение и установка дорожных знаков;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- приобретение краски для</w:t>
            </w:r>
            <w:r w:rsidR="008359C5" w:rsidRPr="006242DC">
              <w:rPr>
                <w:rFonts w:eastAsia="Calibri"/>
                <w:lang w:eastAsia="en-US"/>
              </w:rPr>
              <w:t xml:space="preserve"> дорожной разметки;</w:t>
            </w:r>
          </w:p>
          <w:p w:rsidR="008359C5" w:rsidRPr="00394F0F" w:rsidRDefault="008359C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- в</w:t>
            </w:r>
            <w:r w:rsidRPr="006242DC">
              <w:rPr>
                <w:color w:val="000000"/>
              </w:rPr>
              <w:t>ыполнение работ по нанесению разметки 1.14.1 «Зебра» с применением метода термопластика либо холодного пластика по технологии предварительного фрезерования.</w:t>
            </w:r>
          </w:p>
          <w:p w:rsidR="0046392E" w:rsidRDefault="0046392E" w:rsidP="00DC4BE1">
            <w:pPr>
              <w:jc w:val="center"/>
            </w:pPr>
          </w:p>
        </w:tc>
        <w:tc>
          <w:tcPr>
            <w:tcW w:w="6266" w:type="dxa"/>
            <w:gridSpan w:val="2"/>
          </w:tcPr>
          <w:p w:rsidR="0046392E" w:rsidRDefault="0046392E" w:rsidP="00DC4BE1">
            <w:pPr>
              <w:jc w:val="center"/>
            </w:pPr>
          </w:p>
        </w:tc>
      </w:tr>
    </w:tbl>
    <w:p w:rsidR="00B379A3" w:rsidRDefault="00B379A3" w:rsidP="0015442F">
      <w:pPr>
        <w:spacing w:before="100" w:beforeAutospacing="1" w:after="100" w:afterAutospacing="1"/>
        <w:ind w:firstLine="709"/>
        <w:contextualSpacing/>
        <w:jc w:val="both"/>
      </w:pPr>
    </w:p>
    <w:sectPr w:rsidR="00B379A3" w:rsidSect="0077280B">
      <w:pgSz w:w="16838" w:h="11906" w:orient="landscape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CD" w:rsidRDefault="00657CCD" w:rsidP="0015442F">
      <w:r>
        <w:separator/>
      </w:r>
    </w:p>
  </w:endnote>
  <w:endnote w:type="continuationSeparator" w:id="0">
    <w:p w:rsidR="00657CCD" w:rsidRDefault="00657CCD" w:rsidP="0015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CD" w:rsidRDefault="00657CCD" w:rsidP="0015442F">
      <w:r>
        <w:separator/>
      </w:r>
    </w:p>
  </w:footnote>
  <w:footnote w:type="continuationSeparator" w:id="0">
    <w:p w:rsidR="00657CCD" w:rsidRDefault="00657CCD" w:rsidP="0015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1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A"/>
    <w:rsid w:val="00002D7A"/>
    <w:rsid w:val="000342C3"/>
    <w:rsid w:val="000414C8"/>
    <w:rsid w:val="00051DB1"/>
    <w:rsid w:val="000571B0"/>
    <w:rsid w:val="00064A00"/>
    <w:rsid w:val="00102912"/>
    <w:rsid w:val="00105976"/>
    <w:rsid w:val="001342AE"/>
    <w:rsid w:val="00142C19"/>
    <w:rsid w:val="00147002"/>
    <w:rsid w:val="0015442F"/>
    <w:rsid w:val="00160628"/>
    <w:rsid w:val="001675AC"/>
    <w:rsid w:val="001B49FE"/>
    <w:rsid w:val="001D59A8"/>
    <w:rsid w:val="001E74BC"/>
    <w:rsid w:val="0020490A"/>
    <w:rsid w:val="002B226F"/>
    <w:rsid w:val="002C08E4"/>
    <w:rsid w:val="002E1B2E"/>
    <w:rsid w:val="00304D96"/>
    <w:rsid w:val="003B3B6A"/>
    <w:rsid w:val="00423D0D"/>
    <w:rsid w:val="0043405F"/>
    <w:rsid w:val="0046392E"/>
    <w:rsid w:val="00472FFC"/>
    <w:rsid w:val="004878CA"/>
    <w:rsid w:val="004C58E4"/>
    <w:rsid w:val="004D7A81"/>
    <w:rsid w:val="00565ABB"/>
    <w:rsid w:val="005D0D55"/>
    <w:rsid w:val="005D2881"/>
    <w:rsid w:val="005E1B44"/>
    <w:rsid w:val="00603EB9"/>
    <w:rsid w:val="00613120"/>
    <w:rsid w:val="006242DC"/>
    <w:rsid w:val="00626A4F"/>
    <w:rsid w:val="00657CCD"/>
    <w:rsid w:val="00665001"/>
    <w:rsid w:val="00666021"/>
    <w:rsid w:val="006914BD"/>
    <w:rsid w:val="006D2A02"/>
    <w:rsid w:val="00732F51"/>
    <w:rsid w:val="0077280B"/>
    <w:rsid w:val="00782B53"/>
    <w:rsid w:val="007D5F84"/>
    <w:rsid w:val="007F6930"/>
    <w:rsid w:val="008359C5"/>
    <w:rsid w:val="00870272"/>
    <w:rsid w:val="009001F2"/>
    <w:rsid w:val="0091094F"/>
    <w:rsid w:val="00914285"/>
    <w:rsid w:val="00921922"/>
    <w:rsid w:val="009317EC"/>
    <w:rsid w:val="00941001"/>
    <w:rsid w:val="009A220E"/>
    <w:rsid w:val="009D474C"/>
    <w:rsid w:val="009E34E7"/>
    <w:rsid w:val="009F7021"/>
    <w:rsid w:val="00A41B3C"/>
    <w:rsid w:val="00A76089"/>
    <w:rsid w:val="00A9285B"/>
    <w:rsid w:val="00AB1E03"/>
    <w:rsid w:val="00B000F1"/>
    <w:rsid w:val="00B379A3"/>
    <w:rsid w:val="00B70AED"/>
    <w:rsid w:val="00B75DB4"/>
    <w:rsid w:val="00C00850"/>
    <w:rsid w:val="00C0120A"/>
    <w:rsid w:val="00C07F7D"/>
    <w:rsid w:val="00C221AE"/>
    <w:rsid w:val="00C36969"/>
    <w:rsid w:val="00C60913"/>
    <w:rsid w:val="00C763B4"/>
    <w:rsid w:val="00CB4D3E"/>
    <w:rsid w:val="00CE44E0"/>
    <w:rsid w:val="00CF7847"/>
    <w:rsid w:val="00D537D2"/>
    <w:rsid w:val="00D84CC4"/>
    <w:rsid w:val="00DA1BD9"/>
    <w:rsid w:val="00DC4BE1"/>
    <w:rsid w:val="00DD3860"/>
    <w:rsid w:val="00DD4440"/>
    <w:rsid w:val="00E46B02"/>
    <w:rsid w:val="00E76E43"/>
    <w:rsid w:val="00E80D82"/>
    <w:rsid w:val="00EA13C7"/>
    <w:rsid w:val="00EB652A"/>
    <w:rsid w:val="00ED3895"/>
    <w:rsid w:val="00F01AC0"/>
    <w:rsid w:val="00F01B8C"/>
    <w:rsid w:val="00F17FF8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B3B6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B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B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3B6A"/>
    <w:pPr>
      <w:ind w:firstLine="1080"/>
    </w:pPr>
  </w:style>
  <w:style w:type="character" w:customStyle="1" w:styleId="a5">
    <w:name w:val="Основной текст с отступом Знак"/>
    <w:basedOn w:val="a0"/>
    <w:link w:val="a4"/>
    <w:rsid w:val="003B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B3B6A"/>
    <w:pPr>
      <w:spacing w:before="100" w:beforeAutospacing="1" w:after="100" w:afterAutospacing="1"/>
    </w:pPr>
  </w:style>
  <w:style w:type="paragraph" w:customStyle="1" w:styleId="ConsPlusTitle">
    <w:name w:val="ConsPlusTitle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9A3"/>
    <w:pPr>
      <w:ind w:left="720"/>
      <w:contextualSpacing/>
    </w:pPr>
  </w:style>
  <w:style w:type="table" w:styleId="ab">
    <w:name w:val="Table Grid"/>
    <w:basedOn w:val="a1"/>
    <w:uiPriority w:val="59"/>
    <w:rsid w:val="00B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B3B6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B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B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3B6A"/>
    <w:pPr>
      <w:ind w:firstLine="1080"/>
    </w:pPr>
  </w:style>
  <w:style w:type="character" w:customStyle="1" w:styleId="a5">
    <w:name w:val="Основной текст с отступом Знак"/>
    <w:basedOn w:val="a0"/>
    <w:link w:val="a4"/>
    <w:rsid w:val="003B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B3B6A"/>
    <w:pPr>
      <w:spacing w:before="100" w:beforeAutospacing="1" w:after="100" w:afterAutospacing="1"/>
    </w:pPr>
  </w:style>
  <w:style w:type="paragraph" w:customStyle="1" w:styleId="ConsPlusTitle">
    <w:name w:val="ConsPlusTitle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9A3"/>
    <w:pPr>
      <w:ind w:left="720"/>
      <w:contextualSpacing/>
    </w:pPr>
  </w:style>
  <w:style w:type="table" w:styleId="ab">
    <w:name w:val="Table Grid"/>
    <w:basedOn w:val="a1"/>
    <w:uiPriority w:val="59"/>
    <w:rsid w:val="00B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B8948-55B5-4F7A-ADAF-28085A67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123</cp:lastModifiedBy>
  <cp:revision>3</cp:revision>
  <cp:lastPrinted>2020-08-14T06:39:00Z</cp:lastPrinted>
  <dcterms:created xsi:type="dcterms:W3CDTF">2020-08-31T11:52:00Z</dcterms:created>
  <dcterms:modified xsi:type="dcterms:W3CDTF">2020-09-01T12:40:00Z</dcterms:modified>
</cp:coreProperties>
</file>