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4" w:rsidRDefault="00403168" w:rsidP="00BF30F4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-264160</wp:posOffset>
            </wp:positionV>
            <wp:extent cx="586740" cy="733425"/>
            <wp:effectExtent l="19050" t="0" r="3810" b="0"/>
            <wp:wrapNone/>
            <wp:docPr id="5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F4" w:rsidRDefault="00BF30F4" w:rsidP="00BF30F4"/>
    <w:tbl>
      <w:tblPr>
        <w:tblW w:w="9732" w:type="dxa"/>
        <w:tblLayout w:type="fixed"/>
        <w:tblLook w:val="01E0"/>
      </w:tblPr>
      <w:tblGrid>
        <w:gridCol w:w="236"/>
        <w:gridCol w:w="599"/>
        <w:gridCol w:w="236"/>
        <w:gridCol w:w="1467"/>
        <w:gridCol w:w="606"/>
        <w:gridCol w:w="253"/>
        <w:gridCol w:w="3835"/>
        <w:gridCol w:w="439"/>
        <w:gridCol w:w="2061"/>
      </w:tblGrid>
      <w:tr w:rsidR="00BF30F4" w:rsidTr="005036A0">
        <w:trPr>
          <w:trHeight w:val="1162"/>
        </w:trPr>
        <w:tc>
          <w:tcPr>
            <w:tcW w:w="9732" w:type="dxa"/>
            <w:gridSpan w:val="9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6A0" w:rsidRPr="00CC40AC" w:rsidTr="005036A0">
        <w:trPr>
          <w:trHeight w:val="465"/>
        </w:trPr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  <w:jc w:val="right"/>
            </w:pPr>
            <w:r w:rsidRPr="00B016AE"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0144C1" w:rsidP="005036A0">
            <w:pPr>
              <w:ind w:right="-1"/>
              <w:jc w:val="center"/>
            </w:pPr>
            <w:r>
              <w:t>29</w:t>
            </w:r>
            <w:r w:rsidR="005036A0">
              <w:t xml:space="preserve">  </w:t>
            </w:r>
          </w:p>
        </w:tc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36A0" w:rsidRPr="00B016AE" w:rsidRDefault="000144C1" w:rsidP="005036A0">
            <w:pPr>
              <w:ind w:right="-1"/>
              <w:jc w:val="center"/>
            </w:pPr>
            <w:r>
              <w:t>декабря</w:t>
            </w:r>
            <w:r w:rsidR="005036A0">
              <w:t xml:space="preserve">  </w:t>
            </w:r>
          </w:p>
        </w:tc>
        <w:tc>
          <w:tcPr>
            <w:tcW w:w="606" w:type="dxa"/>
            <w:vAlign w:val="bottom"/>
          </w:tcPr>
          <w:p w:rsidR="005036A0" w:rsidRPr="00B016AE" w:rsidRDefault="005036A0" w:rsidP="001C7883">
            <w:pPr>
              <w:ind w:right="-191"/>
            </w:pPr>
            <w:r>
              <w:t>201</w:t>
            </w:r>
            <w:r w:rsidR="001C7883">
              <w:t xml:space="preserve">7 </w:t>
            </w:r>
          </w:p>
        </w:tc>
        <w:tc>
          <w:tcPr>
            <w:tcW w:w="25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г.</w:t>
            </w:r>
          </w:p>
        </w:tc>
        <w:tc>
          <w:tcPr>
            <w:tcW w:w="3835" w:type="dxa"/>
            <w:vAlign w:val="bottom"/>
          </w:tcPr>
          <w:p w:rsidR="005036A0" w:rsidRPr="00B016AE" w:rsidRDefault="005036A0" w:rsidP="005036A0">
            <w:pPr>
              <w:ind w:right="-1"/>
            </w:pPr>
          </w:p>
        </w:tc>
        <w:tc>
          <w:tcPr>
            <w:tcW w:w="439" w:type="dxa"/>
            <w:vAlign w:val="bottom"/>
          </w:tcPr>
          <w:p w:rsidR="005036A0" w:rsidRPr="00B016AE" w:rsidRDefault="005036A0" w:rsidP="005036A0">
            <w:pPr>
              <w:ind w:right="-1"/>
              <w:jc w:val="center"/>
            </w:pPr>
            <w:r w:rsidRPr="00B016AE">
              <w:t>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0144C1" w:rsidP="005036A0">
            <w:pPr>
              <w:ind w:right="-1"/>
              <w:jc w:val="center"/>
            </w:pPr>
            <w:r>
              <w:t>493</w:t>
            </w:r>
            <w:r w:rsidR="005036A0">
              <w:t xml:space="preserve"> </w:t>
            </w:r>
          </w:p>
        </w:tc>
      </w:tr>
      <w:tr w:rsidR="00BF30F4" w:rsidTr="005036A0">
        <w:trPr>
          <w:trHeight w:val="581"/>
        </w:trPr>
        <w:tc>
          <w:tcPr>
            <w:tcW w:w="9732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20566D" w:rsidP="005036A0">
            <w:pPr>
              <w:ind w:right="-1"/>
            </w:pPr>
            <w:r>
              <w:t>п</w:t>
            </w:r>
            <w:r w:rsidR="00BF30F4" w:rsidRPr="00B016AE">
              <w:t>гт. Октябрьское</w:t>
            </w:r>
          </w:p>
        </w:tc>
      </w:tr>
    </w:tbl>
    <w:p w:rsidR="001C7883" w:rsidRDefault="00884B6C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О</w:t>
      </w:r>
      <w:r w:rsidR="001C7883">
        <w:t xml:space="preserve">б утверждении Положения о порядке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расчета размера платы за пользование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жилыми помещениями (плата за наем)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для нанимателей жилых помещений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по договорам социального найма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муниципального жилищного фонда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социального использования на территории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городского поселения Октябрьское</w:t>
      </w:r>
    </w:p>
    <w:p w:rsidR="00F36089" w:rsidRDefault="00474742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</w:t>
      </w:r>
    </w:p>
    <w:p w:rsidR="00053796" w:rsidRDefault="00053796" w:rsidP="005036A0">
      <w:pPr>
        <w:tabs>
          <w:tab w:val="left" w:pos="142"/>
          <w:tab w:val="left" w:pos="540"/>
        </w:tabs>
        <w:ind w:right="-1"/>
        <w:jc w:val="both"/>
      </w:pPr>
    </w:p>
    <w:p w:rsidR="000D1BBD" w:rsidRDefault="00B6633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В </w:t>
      </w:r>
      <w:r w:rsidR="001C7883">
        <w:t xml:space="preserve">соответствии с частью 3 статьи 156 Жилищного кодекса Российской Федерации, </w:t>
      </w:r>
      <w:r w:rsidR="000D1BBD">
        <w:t>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фонда»:</w:t>
      </w:r>
    </w:p>
    <w:p w:rsidR="00A1719B" w:rsidRDefault="000D1BB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 </w:t>
      </w:r>
    </w:p>
    <w:p w:rsidR="00D43936" w:rsidRDefault="0050611E" w:rsidP="00D43936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      </w:t>
      </w:r>
      <w:r w:rsidR="00AF59FB">
        <w:t xml:space="preserve">1. </w:t>
      </w:r>
      <w:r w:rsidR="000D1BBD">
        <w:t>Утвердить Положение о порядке расчета размера платы за пользование жилыми помещениями (плата за наем) для нанимателей жилых помещений по договорам социального найма</w:t>
      </w:r>
      <w:r w:rsidR="00D43936">
        <w:t xml:space="preserve"> </w:t>
      </w:r>
      <w:r w:rsidR="000D1BBD">
        <w:t>муниципального жилищного фонда</w:t>
      </w:r>
      <w:r w:rsidR="00D43936">
        <w:t xml:space="preserve"> </w:t>
      </w:r>
      <w:r w:rsidR="000D1BBD">
        <w:t>социального использования на территории</w:t>
      </w:r>
      <w:r w:rsidR="00D43936">
        <w:t xml:space="preserve"> </w:t>
      </w:r>
      <w:r w:rsidR="000D1BBD">
        <w:t>городского поселения Октябрьское</w:t>
      </w:r>
      <w:r w:rsidR="00D43936">
        <w:t>, согласно приложению к настоящему постановлению.</w:t>
      </w:r>
    </w:p>
    <w:p w:rsidR="00D43936" w:rsidRDefault="0050611E" w:rsidP="00D43936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>
        <w:t xml:space="preserve">2. </w:t>
      </w:r>
      <w:r w:rsidR="001B74F6">
        <w:t xml:space="preserve">Признать </w:t>
      </w:r>
      <w:r w:rsidR="00D43936">
        <w:t xml:space="preserve">утратившим силу </w:t>
      </w:r>
      <w:r w:rsidR="001B74F6">
        <w:t xml:space="preserve">постановление администрации городского поселения Октябрьское от </w:t>
      </w:r>
      <w:r w:rsidR="00D43936">
        <w:t>03.06.2009</w:t>
      </w:r>
      <w:r w:rsidR="0020566D">
        <w:t xml:space="preserve"> № </w:t>
      </w:r>
      <w:r w:rsidR="00D43936">
        <w:t>243</w:t>
      </w:r>
      <w:r w:rsidR="001B74F6">
        <w:t xml:space="preserve"> </w:t>
      </w:r>
      <w:r w:rsidR="00583B08">
        <w:t>«</w:t>
      </w:r>
      <w:r>
        <w:t>О</w:t>
      </w:r>
      <w:r w:rsidR="00D43936">
        <w:t xml:space="preserve">б </w:t>
      </w:r>
      <w:r>
        <w:t xml:space="preserve"> </w:t>
      </w:r>
      <w:r w:rsidR="00D43936">
        <w:t>утверждении Положения о порядке расчета размера платы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Октябрьское.</w:t>
      </w:r>
    </w:p>
    <w:p w:rsidR="00F50142" w:rsidRPr="00C27D83" w:rsidRDefault="009009FA" w:rsidP="00D43936">
      <w:pPr>
        <w:tabs>
          <w:tab w:val="left" w:pos="0"/>
          <w:tab w:val="left" w:pos="426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 w:rsidR="001B74F6">
        <w:t xml:space="preserve">3. </w:t>
      </w:r>
      <w:r w:rsidR="00E33765" w:rsidRPr="00AF59FB">
        <w:t xml:space="preserve">Обнародовать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</w:t>
      </w:r>
      <w:r w:rsidR="009062E5">
        <w:t>общедоступных местах, а также на официальном сайте городского поселения Октябрьское в сети «</w:t>
      </w:r>
      <w:r w:rsidR="00E33765" w:rsidRPr="00AF59FB">
        <w:t>Интернет</w:t>
      </w:r>
      <w:r w:rsidR="009062E5">
        <w:t>»</w:t>
      </w:r>
      <w:r w:rsidR="00C27D83">
        <w:t>.</w:t>
      </w:r>
    </w:p>
    <w:p w:rsidR="00F50142" w:rsidRPr="00AF59FB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</w:t>
      </w:r>
      <w:r w:rsidR="00474742">
        <w:t xml:space="preserve"> </w:t>
      </w:r>
      <w:r w:rsidR="001B74F6">
        <w:t>4</w:t>
      </w:r>
      <w:r w:rsidR="00AF59FB">
        <w:t xml:space="preserve">. </w:t>
      </w:r>
      <w:r w:rsidR="00012DF5" w:rsidRPr="00AF59FB">
        <w:t>Настоящее постановление вступае</w:t>
      </w:r>
      <w:r w:rsidR="00431893">
        <w:t xml:space="preserve">т в силу с </w:t>
      </w:r>
      <w:r w:rsidR="00DB7791">
        <w:t>момента обнародо</w:t>
      </w:r>
      <w:r w:rsidR="00CD4E00">
        <w:t>вания</w:t>
      </w:r>
      <w:r w:rsidR="00F50142" w:rsidRPr="00AF59FB">
        <w:t>.</w:t>
      </w:r>
    </w:p>
    <w:p w:rsidR="0023753F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 </w:t>
      </w:r>
      <w:r w:rsidR="001B74F6">
        <w:t>5.</w:t>
      </w:r>
      <w:r w:rsidR="00AF59FB">
        <w:t xml:space="preserve"> </w:t>
      </w:r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5036A0">
      <w:pPr>
        <w:tabs>
          <w:tab w:val="left" w:pos="142"/>
        </w:tabs>
        <w:ind w:right="-1"/>
        <w:jc w:val="both"/>
      </w:pPr>
    </w:p>
    <w:p w:rsidR="00DE0A10" w:rsidRDefault="00DE0A10" w:rsidP="005036A0">
      <w:pPr>
        <w:tabs>
          <w:tab w:val="left" w:pos="142"/>
        </w:tabs>
        <w:ind w:right="-1"/>
        <w:jc w:val="both"/>
      </w:pPr>
    </w:p>
    <w:p w:rsidR="00DE0A10" w:rsidRPr="002452F6" w:rsidRDefault="0042562E" w:rsidP="005036A0">
      <w:pPr>
        <w:ind w:right="-1"/>
      </w:pPr>
      <w:r>
        <w:t>Г</w:t>
      </w:r>
      <w:r w:rsidR="00DE0A10" w:rsidRPr="002452F6">
        <w:t>лав</w:t>
      </w:r>
      <w:r>
        <w:t>а</w:t>
      </w:r>
      <w:r w:rsidR="009F66E1">
        <w:t xml:space="preserve"> </w:t>
      </w:r>
      <w:r w:rsidR="00DE0A10" w:rsidRPr="002452F6">
        <w:t xml:space="preserve">городского  поселения Октябрьское  </w:t>
      </w:r>
      <w:r w:rsidR="00DE0A10">
        <w:t xml:space="preserve"> </w:t>
      </w:r>
      <w:r w:rsidR="00DE0A10" w:rsidRPr="002452F6">
        <w:t xml:space="preserve">                                           </w:t>
      </w:r>
      <w:r w:rsidR="00CB6E72">
        <w:t xml:space="preserve">           </w:t>
      </w:r>
      <w:r>
        <w:t>В.В. Сенченков</w:t>
      </w:r>
    </w:p>
    <w:p w:rsidR="00012DF5" w:rsidRDefault="00012DF5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43754B" w:rsidRDefault="0043754B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Исполнитель: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Эксперт отдела по имущественным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и земельным отношениям,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жизнеобеспечению, ГО и ЧС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К.С. Бартошкина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  <w:u w:val="single"/>
        </w:rPr>
      </w:pPr>
      <w:r w:rsidRPr="00104D80">
        <w:rPr>
          <w:sz w:val="23"/>
          <w:szCs w:val="23"/>
          <w:u w:val="single"/>
        </w:rPr>
        <w:t>Согласовано:</w:t>
      </w:r>
    </w:p>
    <w:p w:rsidR="001853A1" w:rsidRDefault="001853A1" w:rsidP="005036A0">
      <w:pPr>
        <w:ind w:right="-1"/>
        <w:rPr>
          <w:sz w:val="23"/>
          <w:szCs w:val="23"/>
          <w:u w:val="single"/>
        </w:rPr>
      </w:pPr>
    </w:p>
    <w:p w:rsidR="001853A1" w:rsidRDefault="009062E5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З</w:t>
      </w:r>
      <w:r w:rsidR="001853A1">
        <w:rPr>
          <w:sz w:val="23"/>
          <w:szCs w:val="23"/>
        </w:rPr>
        <w:t>аведующ</w:t>
      </w:r>
      <w:r>
        <w:rPr>
          <w:sz w:val="23"/>
          <w:szCs w:val="23"/>
        </w:rPr>
        <w:t>ий</w:t>
      </w:r>
      <w:r w:rsidR="001853A1">
        <w:rPr>
          <w:sz w:val="23"/>
          <w:szCs w:val="23"/>
        </w:rPr>
        <w:t xml:space="preserve"> отделом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социальной и правовой политики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М.В. Китаева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F050A2" w:rsidRDefault="00F050A2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Заведующий бюджетным сектором </w:t>
      </w:r>
    </w:p>
    <w:p w:rsidR="00F050A2" w:rsidRDefault="00F050A2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отдела финансово – экономической </w:t>
      </w:r>
    </w:p>
    <w:p w:rsidR="0042562E" w:rsidRDefault="00F050A2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политики и бухгалтерского учета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Н.А. Энне</w:t>
      </w:r>
    </w:p>
    <w:p w:rsidR="00F050A2" w:rsidRDefault="00F050A2" w:rsidP="005036A0">
      <w:pPr>
        <w:ind w:right="-1"/>
        <w:rPr>
          <w:sz w:val="23"/>
          <w:szCs w:val="23"/>
        </w:rPr>
      </w:pPr>
    </w:p>
    <w:p w:rsidR="0042562E" w:rsidRDefault="00CD4E00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и.о. з</w:t>
      </w:r>
      <w:r w:rsidR="0042562E">
        <w:rPr>
          <w:sz w:val="23"/>
          <w:szCs w:val="23"/>
        </w:rPr>
        <w:t>аведующий отделом</w:t>
      </w:r>
    </w:p>
    <w:p w:rsidR="0042562E" w:rsidRDefault="0042562E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по имущественным и земельным </w:t>
      </w:r>
    </w:p>
    <w:p w:rsidR="0042562E" w:rsidRDefault="0042562E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отношениям, жизнеобеспечению, ГО и ЧС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D4E00">
        <w:rPr>
          <w:sz w:val="23"/>
          <w:szCs w:val="23"/>
        </w:rPr>
        <w:t>М.В. Чернышева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Разослать: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Бартошкиной К.С.</w:t>
      </w:r>
      <w:r w:rsidR="005724AE">
        <w:rPr>
          <w:sz w:val="23"/>
          <w:szCs w:val="23"/>
        </w:rPr>
        <w:t xml:space="preserve"> </w:t>
      </w:r>
      <w:r>
        <w:rPr>
          <w:sz w:val="23"/>
          <w:szCs w:val="23"/>
        </w:rPr>
        <w:t>– 1 экз.</w:t>
      </w:r>
    </w:p>
    <w:p w:rsidR="001853A1" w:rsidRDefault="001853A1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Китаевой М.В. – 1 экз.</w:t>
      </w:r>
    </w:p>
    <w:p w:rsidR="00F050A2" w:rsidRDefault="00F050A2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Энне Н.А. – 1 экз.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Pr="00875213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Итого: </w:t>
      </w:r>
      <w:r w:rsidR="00F050A2">
        <w:rPr>
          <w:sz w:val="23"/>
          <w:szCs w:val="23"/>
        </w:rPr>
        <w:t>3</w:t>
      </w:r>
      <w:r>
        <w:rPr>
          <w:sz w:val="23"/>
          <w:szCs w:val="23"/>
        </w:rPr>
        <w:t xml:space="preserve">  экземпляр</w:t>
      </w:r>
      <w:r w:rsidR="00D43936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1853A1" w:rsidRPr="00104D80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1767BE" w:rsidRDefault="001767BE" w:rsidP="005036A0">
      <w:pPr>
        <w:pStyle w:val="a7"/>
        <w:spacing w:before="0" w:beforeAutospacing="0" w:after="0" w:afterAutospacing="0"/>
        <w:ind w:right="-1"/>
      </w:pPr>
    </w:p>
    <w:p w:rsidR="003E3E8B" w:rsidRDefault="003E3E8B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12502B" w:rsidRDefault="00A42BD9" w:rsidP="000144C1">
      <w:pPr>
        <w:pStyle w:val="a7"/>
        <w:spacing w:before="0" w:beforeAutospacing="0" w:after="0" w:afterAutospacing="0"/>
        <w:ind w:right="-1"/>
        <w:jc w:val="right"/>
      </w:pPr>
      <w:r>
        <w:lastRenderedPageBreak/>
        <w:t>Приложение</w:t>
      </w:r>
    </w:p>
    <w:p w:rsidR="0012502B" w:rsidRDefault="0012502B" w:rsidP="000144C1">
      <w:pPr>
        <w:pStyle w:val="a7"/>
        <w:spacing w:before="0" w:beforeAutospacing="0" w:after="0" w:afterAutospacing="0"/>
        <w:ind w:right="-1"/>
        <w:jc w:val="right"/>
      </w:pPr>
      <w:r>
        <w:t xml:space="preserve">к постановлению администрации </w:t>
      </w:r>
    </w:p>
    <w:p w:rsidR="0012502B" w:rsidRDefault="0012502B" w:rsidP="000144C1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Октябрьское </w:t>
      </w:r>
    </w:p>
    <w:p w:rsidR="0012502B" w:rsidRDefault="00474742" w:rsidP="000144C1">
      <w:pPr>
        <w:pStyle w:val="a7"/>
        <w:spacing w:before="0" w:beforeAutospacing="0" w:after="0" w:afterAutospacing="0"/>
        <w:ind w:right="-1"/>
        <w:jc w:val="right"/>
      </w:pPr>
      <w:r>
        <w:t xml:space="preserve">                                                                      </w:t>
      </w:r>
      <w:r w:rsidR="0020566D">
        <w:t xml:space="preserve">                        </w:t>
      </w:r>
      <w:r w:rsidR="000144C1">
        <w:t xml:space="preserve">     </w:t>
      </w:r>
      <w:r w:rsidR="0020566D">
        <w:t xml:space="preserve"> </w:t>
      </w:r>
      <w:r w:rsidR="003E3E8B">
        <w:t>от «</w:t>
      </w:r>
      <w:r w:rsidR="000144C1">
        <w:t xml:space="preserve"> 29 </w:t>
      </w:r>
      <w:r w:rsidR="0012502B">
        <w:t xml:space="preserve">» </w:t>
      </w:r>
      <w:r w:rsidR="000144C1">
        <w:t xml:space="preserve">декабря </w:t>
      </w:r>
      <w:r w:rsidR="00A42BD9">
        <w:t>201</w:t>
      </w:r>
      <w:r w:rsidR="00D43936">
        <w:t>7</w:t>
      </w:r>
      <w:r w:rsidR="00A42BD9">
        <w:t xml:space="preserve"> г. №</w:t>
      </w:r>
      <w:r>
        <w:t xml:space="preserve"> </w:t>
      </w:r>
      <w:r w:rsidR="000144C1">
        <w:t>493</w:t>
      </w:r>
      <w:r>
        <w:t xml:space="preserve">  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</w:p>
    <w:p w:rsidR="0012502B" w:rsidRDefault="0012502B" w:rsidP="005036A0">
      <w:pPr>
        <w:ind w:right="-1" w:firstLine="709"/>
        <w:jc w:val="center"/>
      </w:pPr>
    </w:p>
    <w:p w:rsidR="00D43936" w:rsidRDefault="00D43936" w:rsidP="00D43936">
      <w:pPr>
        <w:pStyle w:val="a7"/>
        <w:spacing w:before="0" w:beforeAutospacing="0" w:after="0" w:afterAutospacing="0"/>
        <w:ind w:right="-1"/>
        <w:jc w:val="center"/>
        <w:rPr>
          <w:b/>
        </w:rPr>
      </w:pPr>
      <w:r w:rsidRPr="00D43936">
        <w:rPr>
          <w:b/>
        </w:rPr>
        <w:t xml:space="preserve">Положения </w:t>
      </w:r>
    </w:p>
    <w:p w:rsidR="00D43936" w:rsidRPr="00D43936" w:rsidRDefault="00D43936" w:rsidP="00D43936">
      <w:pPr>
        <w:pStyle w:val="a7"/>
        <w:spacing w:before="0" w:beforeAutospacing="0" w:after="0" w:afterAutospacing="0"/>
        <w:ind w:right="-1"/>
        <w:jc w:val="center"/>
        <w:rPr>
          <w:b/>
        </w:rPr>
      </w:pPr>
      <w:r w:rsidRPr="00D43936">
        <w:rPr>
          <w:b/>
        </w:rPr>
        <w:t>о порядке расчета размера платы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</w:t>
      </w:r>
    </w:p>
    <w:p w:rsidR="00104FAE" w:rsidRDefault="00104FAE" w:rsidP="00D43936">
      <w:pPr>
        <w:pStyle w:val="a7"/>
        <w:spacing w:before="0" w:beforeAutospacing="0" w:after="0" w:afterAutospacing="0"/>
        <w:ind w:right="-1"/>
        <w:jc w:val="center"/>
        <w:rPr>
          <w:rStyle w:val="a8"/>
        </w:rPr>
      </w:pPr>
    </w:p>
    <w:p w:rsidR="00D43936" w:rsidRDefault="00D43936" w:rsidP="003A3864">
      <w:pPr>
        <w:pStyle w:val="a7"/>
        <w:numPr>
          <w:ilvl w:val="0"/>
          <w:numId w:val="27"/>
        </w:numPr>
        <w:spacing w:before="0" w:beforeAutospacing="0" w:after="0" w:afterAutospacing="0"/>
        <w:ind w:left="567" w:right="-1" w:hanging="207"/>
        <w:jc w:val="center"/>
        <w:rPr>
          <w:rStyle w:val="a8"/>
        </w:rPr>
      </w:pPr>
      <w:r>
        <w:rPr>
          <w:rStyle w:val="a8"/>
        </w:rPr>
        <w:t>Общее положения</w:t>
      </w:r>
    </w:p>
    <w:p w:rsidR="003A3864" w:rsidRDefault="003A3864" w:rsidP="003A3864">
      <w:pPr>
        <w:pStyle w:val="a7"/>
        <w:spacing w:before="0" w:beforeAutospacing="0" w:after="0" w:afterAutospacing="0"/>
        <w:ind w:right="-1"/>
        <w:rPr>
          <w:rStyle w:val="a8"/>
        </w:rPr>
      </w:pPr>
    </w:p>
    <w:p w:rsidR="003A3864" w:rsidRPr="003A3864" w:rsidRDefault="003A3864" w:rsidP="003A3864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bCs/>
        </w:rPr>
      </w:pPr>
      <w:r>
        <w:rPr>
          <w:rStyle w:val="a8"/>
          <w:b w:val="0"/>
        </w:rPr>
        <w:t xml:space="preserve">Настоящее Положение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t>приказом Министерства строительства и жилищно-коммунального хозяйства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3A3864" w:rsidRPr="00075DD4" w:rsidRDefault="003A3864" w:rsidP="003A3864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bCs/>
        </w:rPr>
      </w:pPr>
      <w:r>
        <w:t xml:space="preserve">Установление размера платы за пользование жилым помещением (плата за наем) не </w:t>
      </w:r>
      <w:r w:rsidR="00075DD4">
        <w:t>должен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75DD4" w:rsidRDefault="00075DD4" w:rsidP="00075DD4">
      <w:pPr>
        <w:pStyle w:val="a7"/>
        <w:tabs>
          <w:tab w:val="left" w:pos="851"/>
        </w:tabs>
        <w:spacing w:before="0" w:beforeAutospacing="0" w:after="0" w:afterAutospacing="0"/>
        <w:ind w:right="-1"/>
        <w:jc w:val="both"/>
      </w:pPr>
    </w:p>
    <w:p w:rsidR="00075DD4" w:rsidRDefault="00075DD4" w:rsidP="00075DD4">
      <w:pPr>
        <w:pStyle w:val="a7"/>
        <w:numPr>
          <w:ilvl w:val="0"/>
          <w:numId w:val="27"/>
        </w:numPr>
        <w:spacing w:before="0" w:beforeAutospacing="0" w:after="0" w:afterAutospacing="0"/>
        <w:ind w:left="567" w:right="-1" w:hanging="207"/>
        <w:jc w:val="center"/>
        <w:rPr>
          <w:rStyle w:val="a8"/>
        </w:rPr>
      </w:pPr>
      <w:r>
        <w:rPr>
          <w:rStyle w:val="a8"/>
        </w:rPr>
        <w:t>Размер платы за наем жилого помещения</w:t>
      </w:r>
    </w:p>
    <w:p w:rsidR="00075DD4" w:rsidRDefault="00075DD4" w:rsidP="00075DD4">
      <w:pPr>
        <w:pStyle w:val="a7"/>
        <w:spacing w:before="0" w:beforeAutospacing="0" w:after="0" w:afterAutospacing="0"/>
        <w:ind w:left="567" w:right="-1"/>
        <w:rPr>
          <w:rStyle w:val="a8"/>
        </w:rPr>
      </w:pPr>
    </w:p>
    <w:p w:rsidR="00225700" w:rsidRDefault="00225700" w:rsidP="00225700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rStyle w:val="a8"/>
          <w:b w:val="0"/>
        </w:rPr>
      </w:pPr>
      <w:r>
        <w:rPr>
          <w:rStyle w:val="a8"/>
          <w:b w:val="0"/>
        </w:rPr>
        <w:t>Ежемесячный размер платы за наем одного квадратного метра жилого помещения, предоставленного по договору социального найма муниципального жилищного фонда, определяется по формуле:</w:t>
      </w:r>
    </w:p>
    <w:p w:rsidR="00225700" w:rsidRDefault="00225700" w:rsidP="00225700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  <w:rPr>
          <w:rStyle w:val="a8"/>
          <w:b w:val="0"/>
        </w:rPr>
      </w:pPr>
    </w:p>
    <w:p w:rsidR="001423A8" w:rsidRDefault="00225700" w:rsidP="00225700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center"/>
      </w:pPr>
      <w:r>
        <w:t>Пкв.м. = Нб * К</w:t>
      </w:r>
      <w:r w:rsidR="001423A8">
        <w:rPr>
          <w:lang w:val="en-US"/>
        </w:rPr>
        <w:t>j</w:t>
      </w:r>
      <w:r w:rsidR="001423A8" w:rsidRPr="001423A8">
        <w:t xml:space="preserve"> * </w:t>
      </w:r>
      <w:r w:rsidR="001423A8">
        <w:t>Кс, где</w:t>
      </w:r>
    </w:p>
    <w:p w:rsidR="001423A8" w:rsidRDefault="001423A8" w:rsidP="00225700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center"/>
      </w:pP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>Пкв.м. – размер платы за наем одного квадратного метра жилого помещения в месяц;</w:t>
      </w: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>Нб – базовый размер платы за наем жилого помещения;</w:t>
      </w: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right="-1" w:firstLine="360"/>
        <w:jc w:val="both"/>
      </w:pPr>
      <w:r>
        <w:t>К</w:t>
      </w:r>
      <w:r>
        <w:rPr>
          <w:lang w:val="en-US"/>
        </w:rPr>
        <w:t>j</w:t>
      </w:r>
      <w:r>
        <w:t xml:space="preserve"> – коэффициент, характеризующий качество, благоустройство жилого помещения и местоположения дома;</w:t>
      </w:r>
    </w:p>
    <w:p w:rsidR="00225700" w:rsidRPr="003A3864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  <w:rPr>
          <w:bCs/>
        </w:rPr>
      </w:pPr>
      <w:r>
        <w:t>Кс – коэффициент соответствия платы</w:t>
      </w:r>
      <w:r w:rsidR="00225700">
        <w:t>.</w:t>
      </w:r>
    </w:p>
    <w:p w:rsidR="001423A8" w:rsidRPr="001423A8" w:rsidRDefault="001423A8" w:rsidP="00225700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bCs/>
        </w:rPr>
      </w:pPr>
      <w:r>
        <w:t xml:space="preserve">Наниматели жилых помещений по договорам социального найма муниципального жилищного фонда вносят плату за пользование жилыми помещениями (плату за наем) наймодателю жилого помещения. </w:t>
      </w: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>Плата за наем не взимается в</w:t>
      </w: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 xml:space="preserve"> - домах с износом 60% и более;</w:t>
      </w:r>
    </w:p>
    <w:p w:rsidR="001423A8" w:rsidRDefault="001423A8" w:rsidP="001423A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>- домах, признанных в установленном порядке аварийными и непригодными для проживания.</w:t>
      </w: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right="-1"/>
        <w:jc w:val="both"/>
      </w:pPr>
    </w:p>
    <w:p w:rsidR="00D049C8" w:rsidRDefault="00D049C8" w:rsidP="00D049C8">
      <w:pPr>
        <w:pStyle w:val="a7"/>
        <w:numPr>
          <w:ilvl w:val="0"/>
          <w:numId w:val="27"/>
        </w:numPr>
        <w:spacing w:before="0" w:beforeAutospacing="0" w:after="0" w:afterAutospacing="0"/>
        <w:ind w:left="567" w:right="-1" w:hanging="207"/>
        <w:jc w:val="center"/>
        <w:rPr>
          <w:rStyle w:val="a8"/>
        </w:rPr>
      </w:pPr>
      <w:r>
        <w:rPr>
          <w:rStyle w:val="a8"/>
        </w:rPr>
        <w:t>Базовый размер платы за наем жилого помещения</w:t>
      </w:r>
    </w:p>
    <w:p w:rsidR="00D049C8" w:rsidRDefault="00D049C8" w:rsidP="00D049C8">
      <w:pPr>
        <w:pStyle w:val="a7"/>
        <w:spacing w:before="0" w:beforeAutospacing="0" w:after="0" w:afterAutospacing="0"/>
        <w:ind w:left="567" w:right="-1"/>
        <w:rPr>
          <w:rStyle w:val="a8"/>
        </w:rPr>
      </w:pPr>
    </w:p>
    <w:p w:rsidR="00D049C8" w:rsidRDefault="00D049C8" w:rsidP="00D049C8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rStyle w:val="a8"/>
          <w:b w:val="0"/>
        </w:rPr>
      </w:pPr>
      <w:r>
        <w:rPr>
          <w:rStyle w:val="a8"/>
          <w:b w:val="0"/>
        </w:rPr>
        <w:t>Базовый размер платы за наем жилого помещения определяется по формуле:</w:t>
      </w: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  <w:rPr>
          <w:rStyle w:val="a8"/>
          <w:b w:val="0"/>
        </w:rPr>
      </w:pP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center"/>
      </w:pPr>
      <w:r>
        <w:t>Нб = СРс * 0,001, где</w:t>
      </w: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center"/>
      </w:pP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</w:pPr>
      <w:r>
        <w:t>Нб – базовый размер платы за наем жилого помещения;</w:t>
      </w:r>
    </w:p>
    <w:p w:rsidR="00F050A2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right="-1" w:firstLine="360"/>
        <w:jc w:val="both"/>
      </w:pPr>
      <w:r>
        <w:lastRenderedPageBreak/>
        <w:t xml:space="preserve">СРс – средняя цена 1 кв.м. </w:t>
      </w:r>
      <w:r w:rsidR="00F050A2">
        <w:t xml:space="preserve">общей площади </w:t>
      </w:r>
      <w:r>
        <w:t xml:space="preserve">на вторичном рынке жилья </w:t>
      </w:r>
      <w:r w:rsidR="00F050A2">
        <w:t>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жилых помещений.</w:t>
      </w:r>
    </w:p>
    <w:p w:rsidR="00F050A2" w:rsidRDefault="00F050A2" w:rsidP="00D049C8">
      <w:pPr>
        <w:pStyle w:val="a7"/>
        <w:tabs>
          <w:tab w:val="left" w:pos="851"/>
        </w:tabs>
        <w:spacing w:before="0" w:beforeAutospacing="0" w:after="0" w:afterAutospacing="0"/>
        <w:ind w:right="-1" w:firstLine="360"/>
        <w:jc w:val="both"/>
      </w:pPr>
      <w:r>
        <w:t>3.2. Средняя цена 1 кв.м.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049C8" w:rsidRDefault="00F050A2" w:rsidP="00D049C8">
      <w:pPr>
        <w:pStyle w:val="a7"/>
        <w:tabs>
          <w:tab w:val="left" w:pos="851"/>
        </w:tabs>
        <w:spacing w:before="0" w:beforeAutospacing="0" w:after="0" w:afterAutospacing="0"/>
        <w:ind w:right="-1" w:firstLine="360"/>
        <w:jc w:val="both"/>
      </w:pPr>
      <w:r>
        <w:t>В случае отсутствия указанной информации по субъекту Российской Федерации используется средняя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D43936" w:rsidRDefault="00D43936" w:rsidP="003A3864">
      <w:pPr>
        <w:pStyle w:val="a7"/>
        <w:spacing w:before="0" w:beforeAutospacing="0" w:after="0" w:afterAutospacing="0"/>
        <w:ind w:right="-1"/>
        <w:jc w:val="both"/>
        <w:rPr>
          <w:rStyle w:val="a8"/>
        </w:rPr>
      </w:pPr>
    </w:p>
    <w:p w:rsidR="00D049C8" w:rsidRDefault="00D049C8" w:rsidP="00D049C8">
      <w:pPr>
        <w:pStyle w:val="a7"/>
        <w:numPr>
          <w:ilvl w:val="0"/>
          <w:numId w:val="27"/>
        </w:numPr>
        <w:spacing w:before="0" w:beforeAutospacing="0" w:after="0" w:afterAutospacing="0"/>
        <w:ind w:left="567" w:right="-1" w:hanging="207"/>
        <w:jc w:val="center"/>
        <w:rPr>
          <w:rStyle w:val="a8"/>
        </w:rPr>
      </w:pPr>
      <w:r>
        <w:rPr>
          <w:rStyle w:val="a8"/>
        </w:rPr>
        <w:t>Коэффициент, характеризующий качество и благоустройство жилого помещения, местоположения дома</w:t>
      </w:r>
    </w:p>
    <w:p w:rsidR="00D049C8" w:rsidRDefault="00D049C8" w:rsidP="00D049C8">
      <w:pPr>
        <w:pStyle w:val="a7"/>
        <w:spacing w:before="0" w:beforeAutospacing="0" w:after="0" w:afterAutospacing="0"/>
        <w:ind w:left="567" w:right="-1"/>
        <w:rPr>
          <w:rStyle w:val="a8"/>
        </w:rPr>
      </w:pPr>
    </w:p>
    <w:p w:rsidR="00D049C8" w:rsidRDefault="00D049C8" w:rsidP="00D049C8">
      <w:pPr>
        <w:pStyle w:val="a7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ind w:left="0" w:right="-1" w:firstLine="360"/>
        <w:jc w:val="both"/>
        <w:rPr>
          <w:rStyle w:val="a8"/>
          <w:b w:val="0"/>
        </w:rPr>
      </w:pPr>
      <w:r>
        <w:rPr>
          <w:rStyle w:val="a8"/>
          <w:b w:val="0"/>
        </w:rPr>
        <w:t>Размер платы за наем жилого помещения устанавливается с использованием коэффициента, характеризующего качество, благоустройство жилого помещения и местоположение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D049C8" w:rsidRDefault="00D049C8" w:rsidP="00D049C8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  <w:rPr>
          <w:rStyle w:val="a8"/>
          <w:b w:val="0"/>
        </w:rPr>
      </w:pPr>
    </w:p>
    <w:p w:rsidR="005D5F71" w:rsidRDefault="005D5F71" w:rsidP="005D5F71">
      <w:pPr>
        <w:pStyle w:val="a9"/>
        <w:jc w:val="center"/>
      </w:pPr>
      <w:r>
        <w:rPr>
          <w:noProof/>
        </w:rPr>
        <w:drawing>
          <wp:inline distT="0" distB="0" distL="0" distR="0">
            <wp:extent cx="1219200" cy="4857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D5F71" w:rsidRDefault="005D5F71" w:rsidP="005D5F71">
      <w:pPr>
        <w:ind w:firstLine="426"/>
        <w:jc w:val="both"/>
      </w:pPr>
      <w:r>
        <w:t>К</w:t>
      </w:r>
      <w:r>
        <w:rPr>
          <w:lang w:val="en-US"/>
        </w:rPr>
        <w:t>j</w:t>
      </w:r>
      <w:r>
        <w:t xml:space="preserve"> – коэффициент, характеризующий качество, благоустройство жилого помещения и местоположение дома;</w:t>
      </w:r>
    </w:p>
    <w:p w:rsidR="005D5F71" w:rsidRDefault="005D5F71" w:rsidP="005D5F71">
      <w:pPr>
        <w:ind w:firstLine="426"/>
        <w:jc w:val="both"/>
      </w:pPr>
      <w:r>
        <w:t>К</w:t>
      </w:r>
      <w:r w:rsidRPr="005D5F71">
        <w:rPr>
          <w:sz w:val="20"/>
        </w:rPr>
        <w:t>1</w:t>
      </w:r>
      <w:r w:rsidRPr="005D5F71">
        <w:t xml:space="preserve"> – </w:t>
      </w:r>
      <w:r>
        <w:t>коэффициент, характеризующий качество жилого помещения;</w:t>
      </w:r>
    </w:p>
    <w:p w:rsidR="005D5F71" w:rsidRDefault="005D5F71" w:rsidP="005D5F71">
      <w:pPr>
        <w:ind w:firstLine="426"/>
        <w:jc w:val="both"/>
      </w:pPr>
      <w:r>
        <w:t>К</w:t>
      </w:r>
      <w:r w:rsidRPr="005D5F71">
        <w:rPr>
          <w:sz w:val="20"/>
        </w:rPr>
        <w:t>2</w:t>
      </w:r>
      <w:r>
        <w:t xml:space="preserve"> – коэффициент, характеризующий благоустройство жилого помещения;</w:t>
      </w:r>
    </w:p>
    <w:p w:rsidR="005D5F71" w:rsidRDefault="005D5F71" w:rsidP="005D5F71">
      <w:pPr>
        <w:ind w:firstLine="426"/>
        <w:jc w:val="both"/>
      </w:pPr>
      <w:r>
        <w:t>К</w:t>
      </w:r>
      <w:r w:rsidRPr="005D5F71">
        <w:rPr>
          <w:sz w:val="20"/>
        </w:rPr>
        <w:t>3</w:t>
      </w:r>
      <w:r>
        <w:t xml:space="preserve"> – коэффициент, характеризующий местоположение дома.</w:t>
      </w:r>
    </w:p>
    <w:p w:rsidR="005D5F71" w:rsidRDefault="005D5F71" w:rsidP="005D5F71">
      <w:pPr>
        <w:ind w:firstLine="426"/>
        <w:jc w:val="both"/>
      </w:pPr>
      <w:r>
        <w:t>Значения показателей К1 – К3 оцениваются в интервале от 0, до 1,3 и приведены в приложении к Положению.</w:t>
      </w:r>
    </w:p>
    <w:p w:rsidR="005D5F71" w:rsidRDefault="005D5F71" w:rsidP="005D5F71">
      <w:pPr>
        <w:ind w:firstLine="360"/>
        <w:jc w:val="both"/>
      </w:pPr>
      <w:bookmarkStart w:id="0" w:name="sub_42"/>
      <w:r>
        <w:t>4.2. Размер платы за наём жилого помещения устанавливается с использованием величины коэффициента соответствия платы (Кс), который оценивается в интервале от 0 до 1 в соответствии с приложением к Положению.</w:t>
      </w:r>
    </w:p>
    <w:bookmarkEnd w:id="0"/>
    <w:p w:rsidR="005D5F71" w:rsidRPr="005D5F71" w:rsidRDefault="005D5F71" w:rsidP="005D5F71">
      <w:pPr>
        <w:pStyle w:val="a7"/>
        <w:tabs>
          <w:tab w:val="left" w:pos="851"/>
        </w:tabs>
        <w:spacing w:before="0" w:beforeAutospacing="0" w:after="0" w:afterAutospacing="0"/>
        <w:ind w:left="360" w:right="-1"/>
        <w:jc w:val="both"/>
        <w:rPr>
          <w:bCs/>
        </w:rPr>
      </w:pPr>
    </w:p>
    <w:p w:rsidR="00D43936" w:rsidRDefault="00D43936" w:rsidP="00D43936">
      <w:pPr>
        <w:pStyle w:val="a7"/>
        <w:spacing w:before="0" w:beforeAutospacing="0" w:after="0" w:afterAutospacing="0"/>
        <w:ind w:right="-1"/>
        <w:rPr>
          <w:rStyle w:val="a8"/>
        </w:rPr>
      </w:pPr>
    </w:p>
    <w:p w:rsidR="00D43936" w:rsidRDefault="00D43936" w:rsidP="00D43936">
      <w:pPr>
        <w:pStyle w:val="a7"/>
        <w:spacing w:before="0" w:beforeAutospacing="0" w:after="0" w:afterAutospacing="0"/>
        <w:ind w:left="720" w:right="-1"/>
        <w:rPr>
          <w:rStyle w:val="a8"/>
        </w:rPr>
      </w:pPr>
    </w:p>
    <w:p w:rsidR="00D43936" w:rsidRDefault="00D43936" w:rsidP="00D43936">
      <w:pPr>
        <w:pStyle w:val="a7"/>
        <w:spacing w:before="0" w:beforeAutospacing="0" w:after="0" w:afterAutospacing="0"/>
        <w:ind w:right="-1"/>
        <w:rPr>
          <w:rStyle w:val="a8"/>
        </w:rPr>
      </w:pPr>
    </w:p>
    <w:p w:rsidR="00D43936" w:rsidRDefault="00D43936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 w:rsidRPr="005F725C">
        <w:lastRenderedPageBreak/>
        <w:t>Приложение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к Положению о порядке расчета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размера платы за пользование жилыми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помещениями (плата за наем) для нанимателей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жилых помещений по договорам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>социального найма муниципального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 жилищного фонда социального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 xml:space="preserve">использования на территории городского 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  <w:r>
        <w:t>поселения Октябрьское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right"/>
      </w:pPr>
    </w:p>
    <w:p w:rsidR="007054BB" w:rsidRDefault="007054BB" w:rsidP="005F725C">
      <w:pPr>
        <w:pStyle w:val="a7"/>
        <w:spacing w:before="0" w:beforeAutospacing="0" w:after="0" w:afterAutospacing="0"/>
        <w:ind w:right="-1"/>
        <w:jc w:val="right"/>
      </w:pPr>
    </w:p>
    <w:p w:rsidR="005F725C" w:rsidRPr="005F725C" w:rsidRDefault="005F725C" w:rsidP="005F725C">
      <w:pPr>
        <w:pStyle w:val="a7"/>
        <w:spacing w:before="0" w:beforeAutospacing="0" w:after="0" w:afterAutospacing="0"/>
        <w:ind w:right="-1"/>
        <w:jc w:val="center"/>
        <w:rPr>
          <w:b/>
        </w:rPr>
      </w:pPr>
      <w:r w:rsidRPr="005F725C">
        <w:rPr>
          <w:b/>
        </w:rPr>
        <w:t>Коэффициенты</w:t>
      </w:r>
    </w:p>
    <w:p w:rsidR="005F725C" w:rsidRDefault="005F725C" w:rsidP="005F725C">
      <w:pPr>
        <w:pStyle w:val="a7"/>
        <w:spacing w:before="0" w:beforeAutospacing="0" w:after="0" w:afterAutospacing="0"/>
        <w:ind w:right="-1"/>
        <w:jc w:val="center"/>
        <w:rPr>
          <w:b/>
          <w:sz w:val="20"/>
        </w:rPr>
      </w:pPr>
    </w:p>
    <w:tbl>
      <w:tblPr>
        <w:tblStyle w:val="ab"/>
        <w:tblW w:w="9748" w:type="dxa"/>
        <w:tblLook w:val="04A0"/>
      </w:tblPr>
      <w:tblGrid>
        <w:gridCol w:w="675"/>
        <w:gridCol w:w="2268"/>
        <w:gridCol w:w="1559"/>
        <w:gridCol w:w="3970"/>
        <w:gridCol w:w="1276"/>
      </w:tblGrid>
      <w:tr w:rsidR="005F725C" w:rsidRPr="004E2631" w:rsidTr="004E2631">
        <w:tc>
          <w:tcPr>
            <w:tcW w:w="675" w:type="dxa"/>
          </w:tcPr>
          <w:p w:rsidR="005F725C" w:rsidRPr="004E2631" w:rsidRDefault="005F725C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 xml:space="preserve">№ </w:t>
            </w:r>
            <w:r w:rsidR="004E2631" w:rsidRPr="004E26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</w:tcPr>
          <w:p w:rsidR="005F725C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5F725C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3970" w:type="dxa"/>
          </w:tcPr>
          <w:p w:rsidR="005F725C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276" w:type="dxa"/>
          </w:tcPr>
          <w:p w:rsidR="005F725C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E2631" w:rsidRPr="004E2631" w:rsidTr="004E2631">
        <w:tc>
          <w:tcPr>
            <w:tcW w:w="675" w:type="dxa"/>
            <w:vMerge w:val="restart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3970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капитального исполнения</w:t>
            </w:r>
          </w:p>
        </w:tc>
        <w:tc>
          <w:tcPr>
            <w:tcW w:w="1276" w:type="dxa"/>
          </w:tcPr>
          <w:p w:rsidR="004E2631" w:rsidRPr="004E2631" w:rsidRDefault="004E2631" w:rsidP="00A950CD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950CD">
              <w:rPr>
                <w:rFonts w:ascii="Times New Roman" w:hAnsi="Times New Roman" w:cs="Times New Roman"/>
              </w:rPr>
              <w:t>3</w:t>
            </w:r>
          </w:p>
        </w:tc>
      </w:tr>
      <w:tr w:rsidR="004E2631" w:rsidRPr="004E2631" w:rsidTr="004E2631">
        <w:tc>
          <w:tcPr>
            <w:tcW w:w="675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4E2631" w:rsidRPr="004E2631" w:rsidRDefault="004E2631" w:rsidP="00CD4E00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деревянного или смеш</w:t>
            </w:r>
            <w:r w:rsidR="00CD4E0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нного исполнения</w:t>
            </w:r>
          </w:p>
        </w:tc>
        <w:tc>
          <w:tcPr>
            <w:tcW w:w="1276" w:type="dxa"/>
          </w:tcPr>
          <w:p w:rsidR="004E2631" w:rsidRPr="004E2631" w:rsidRDefault="00CD4E00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2631" w:rsidRPr="004E2631" w:rsidTr="004E2631">
        <w:tc>
          <w:tcPr>
            <w:tcW w:w="675" w:type="dxa"/>
            <w:vMerge w:val="restart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3970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благоустройство в жилых помещениях</w:t>
            </w:r>
          </w:p>
        </w:tc>
        <w:tc>
          <w:tcPr>
            <w:tcW w:w="1276" w:type="dxa"/>
          </w:tcPr>
          <w:p w:rsidR="004E2631" w:rsidRPr="004E2631" w:rsidRDefault="00CD4E00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2631" w:rsidRPr="004E2631" w:rsidTr="004E2631">
        <w:tc>
          <w:tcPr>
            <w:tcW w:w="675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одного и более видов коммунальных услуг</w:t>
            </w:r>
          </w:p>
        </w:tc>
        <w:tc>
          <w:tcPr>
            <w:tcW w:w="1276" w:type="dxa"/>
          </w:tcPr>
          <w:p w:rsidR="004E2631" w:rsidRPr="004E2631" w:rsidRDefault="00CD4E00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E2631" w:rsidRPr="004E2631" w:rsidTr="004E2631">
        <w:tc>
          <w:tcPr>
            <w:tcW w:w="675" w:type="dxa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местоположения жилого дома</w:t>
            </w:r>
          </w:p>
        </w:tc>
        <w:tc>
          <w:tcPr>
            <w:tcW w:w="1559" w:type="dxa"/>
          </w:tcPr>
          <w:p w:rsidR="004E2631" w:rsidRPr="004E2631" w:rsidRDefault="004E2631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970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городского поселения Октябрьское</w:t>
            </w:r>
          </w:p>
        </w:tc>
        <w:tc>
          <w:tcPr>
            <w:tcW w:w="1276" w:type="dxa"/>
          </w:tcPr>
          <w:p w:rsidR="004E2631" w:rsidRPr="004E2631" w:rsidRDefault="004E2631" w:rsidP="004E2631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054BB" w:rsidRPr="007054BB" w:rsidTr="004E2631">
        <w:tc>
          <w:tcPr>
            <w:tcW w:w="675" w:type="dxa"/>
            <w:vMerge w:val="restart"/>
          </w:tcPr>
          <w:p w:rsidR="007054BB" w:rsidRPr="007054BB" w:rsidRDefault="007054BB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7054BB" w:rsidRPr="007054BB" w:rsidRDefault="007054BB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</w:tcPr>
          <w:p w:rsidR="007054BB" w:rsidRPr="007054BB" w:rsidRDefault="007054BB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3970" w:type="dxa"/>
          </w:tcPr>
          <w:p w:rsidR="007054BB" w:rsidRPr="007054BB" w:rsidRDefault="007054BB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капитального исполнения</w:t>
            </w:r>
          </w:p>
        </w:tc>
        <w:tc>
          <w:tcPr>
            <w:tcW w:w="1276" w:type="dxa"/>
          </w:tcPr>
          <w:p w:rsidR="007054BB" w:rsidRPr="007054BB" w:rsidRDefault="00DB7791" w:rsidP="00DB7791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0,053</w:t>
            </w:r>
          </w:p>
        </w:tc>
      </w:tr>
      <w:tr w:rsidR="007054BB" w:rsidRPr="007054BB" w:rsidTr="004E2631">
        <w:tc>
          <w:tcPr>
            <w:tcW w:w="675" w:type="dxa"/>
            <w:vMerge/>
          </w:tcPr>
          <w:p w:rsidR="007054BB" w:rsidRPr="007054BB" w:rsidRDefault="007054BB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054BB" w:rsidRPr="007054BB" w:rsidRDefault="007054BB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54BB" w:rsidRPr="007054BB" w:rsidRDefault="007054BB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7054BB" w:rsidRPr="007054BB" w:rsidRDefault="007054BB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деревянного или смешенного исполнения</w:t>
            </w:r>
          </w:p>
        </w:tc>
        <w:tc>
          <w:tcPr>
            <w:tcW w:w="1276" w:type="dxa"/>
          </w:tcPr>
          <w:p w:rsidR="007054BB" w:rsidRPr="007054BB" w:rsidRDefault="00DB7791" w:rsidP="004D35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</w:tr>
    </w:tbl>
    <w:p w:rsidR="005F725C" w:rsidRPr="004E2631" w:rsidRDefault="005F725C" w:rsidP="005F725C">
      <w:pPr>
        <w:pStyle w:val="a7"/>
        <w:spacing w:before="0" w:beforeAutospacing="0" w:after="0" w:afterAutospacing="0"/>
        <w:ind w:right="-1"/>
        <w:jc w:val="center"/>
        <w:rPr>
          <w:sz w:val="20"/>
        </w:rPr>
      </w:pPr>
    </w:p>
    <w:sectPr w:rsidR="005F725C" w:rsidRPr="004E2631" w:rsidSect="00583B0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86"/>
    <w:multiLevelType w:val="hybridMultilevel"/>
    <w:tmpl w:val="6724688A"/>
    <w:lvl w:ilvl="0" w:tplc="3E10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FD"/>
    <w:multiLevelType w:val="multilevel"/>
    <w:tmpl w:val="C6F41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1E05564D"/>
    <w:multiLevelType w:val="hybridMultilevel"/>
    <w:tmpl w:val="BBE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26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20"/>
  </w:num>
  <w:num w:numId="14">
    <w:abstractNumId w:val="8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25"/>
  </w:num>
  <w:num w:numId="20">
    <w:abstractNumId w:val="11"/>
  </w:num>
  <w:num w:numId="21">
    <w:abstractNumId w:val="24"/>
  </w:num>
  <w:num w:numId="22">
    <w:abstractNumId w:val="22"/>
  </w:num>
  <w:num w:numId="23">
    <w:abstractNumId w:val="10"/>
  </w:num>
  <w:num w:numId="24">
    <w:abstractNumId w:val="23"/>
  </w:num>
  <w:num w:numId="25">
    <w:abstractNumId w:val="6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12DF5"/>
    <w:rsid w:val="000144C1"/>
    <w:rsid w:val="00015D4F"/>
    <w:rsid w:val="00016C4A"/>
    <w:rsid w:val="00023291"/>
    <w:rsid w:val="00032531"/>
    <w:rsid w:val="00033CC5"/>
    <w:rsid w:val="00053796"/>
    <w:rsid w:val="000542A1"/>
    <w:rsid w:val="00055E6C"/>
    <w:rsid w:val="00060A68"/>
    <w:rsid w:val="000658D6"/>
    <w:rsid w:val="00072741"/>
    <w:rsid w:val="00072923"/>
    <w:rsid w:val="0007588E"/>
    <w:rsid w:val="00075DD4"/>
    <w:rsid w:val="000A59DD"/>
    <w:rsid w:val="000B5DDF"/>
    <w:rsid w:val="000C66BB"/>
    <w:rsid w:val="000C683D"/>
    <w:rsid w:val="000C7E1F"/>
    <w:rsid w:val="000D1BBD"/>
    <w:rsid w:val="000E28EA"/>
    <w:rsid w:val="000F3149"/>
    <w:rsid w:val="000F4B6F"/>
    <w:rsid w:val="000F6AFC"/>
    <w:rsid w:val="00103A7F"/>
    <w:rsid w:val="00104FAE"/>
    <w:rsid w:val="001207AC"/>
    <w:rsid w:val="001231C1"/>
    <w:rsid w:val="001234BA"/>
    <w:rsid w:val="0012502B"/>
    <w:rsid w:val="00125C38"/>
    <w:rsid w:val="00132E05"/>
    <w:rsid w:val="00140682"/>
    <w:rsid w:val="001423A8"/>
    <w:rsid w:val="0016338B"/>
    <w:rsid w:val="0016769F"/>
    <w:rsid w:val="001767BE"/>
    <w:rsid w:val="001853A1"/>
    <w:rsid w:val="00187EB7"/>
    <w:rsid w:val="001A104A"/>
    <w:rsid w:val="001A219F"/>
    <w:rsid w:val="001A4184"/>
    <w:rsid w:val="001B02C0"/>
    <w:rsid w:val="001B3B59"/>
    <w:rsid w:val="001B3D5B"/>
    <w:rsid w:val="001B74F6"/>
    <w:rsid w:val="001C4084"/>
    <w:rsid w:val="001C6877"/>
    <w:rsid w:val="001C7883"/>
    <w:rsid w:val="001D24A3"/>
    <w:rsid w:val="001E7FF4"/>
    <w:rsid w:val="001F031E"/>
    <w:rsid w:val="001F28FD"/>
    <w:rsid w:val="0020566D"/>
    <w:rsid w:val="0020696A"/>
    <w:rsid w:val="002134DC"/>
    <w:rsid w:val="00225700"/>
    <w:rsid w:val="002314A5"/>
    <w:rsid w:val="00237280"/>
    <w:rsid w:val="0023753F"/>
    <w:rsid w:val="00246F5B"/>
    <w:rsid w:val="00252C80"/>
    <w:rsid w:val="00271B1B"/>
    <w:rsid w:val="00271EE1"/>
    <w:rsid w:val="00274C3F"/>
    <w:rsid w:val="00276CAC"/>
    <w:rsid w:val="00280C68"/>
    <w:rsid w:val="00283CDE"/>
    <w:rsid w:val="002876F3"/>
    <w:rsid w:val="002A1D4A"/>
    <w:rsid w:val="002B3056"/>
    <w:rsid w:val="002C7F2F"/>
    <w:rsid w:val="002F68C9"/>
    <w:rsid w:val="00306E72"/>
    <w:rsid w:val="00306FAC"/>
    <w:rsid w:val="00312F53"/>
    <w:rsid w:val="003177EE"/>
    <w:rsid w:val="00330D7B"/>
    <w:rsid w:val="003436CA"/>
    <w:rsid w:val="00343AAF"/>
    <w:rsid w:val="00347C5F"/>
    <w:rsid w:val="00354955"/>
    <w:rsid w:val="00363A3F"/>
    <w:rsid w:val="00371E67"/>
    <w:rsid w:val="00381533"/>
    <w:rsid w:val="0039202B"/>
    <w:rsid w:val="003936D1"/>
    <w:rsid w:val="00396009"/>
    <w:rsid w:val="003A2DDC"/>
    <w:rsid w:val="003A3864"/>
    <w:rsid w:val="003B4C91"/>
    <w:rsid w:val="003C35F3"/>
    <w:rsid w:val="003D7608"/>
    <w:rsid w:val="003E3E8B"/>
    <w:rsid w:val="00403168"/>
    <w:rsid w:val="0040336F"/>
    <w:rsid w:val="004056BE"/>
    <w:rsid w:val="0042562E"/>
    <w:rsid w:val="00431893"/>
    <w:rsid w:val="0043754B"/>
    <w:rsid w:val="00446BAE"/>
    <w:rsid w:val="00452265"/>
    <w:rsid w:val="00454A39"/>
    <w:rsid w:val="00455A8D"/>
    <w:rsid w:val="0046227D"/>
    <w:rsid w:val="00474742"/>
    <w:rsid w:val="00476DE7"/>
    <w:rsid w:val="004773F0"/>
    <w:rsid w:val="00483533"/>
    <w:rsid w:val="004853DA"/>
    <w:rsid w:val="004A241B"/>
    <w:rsid w:val="004B225E"/>
    <w:rsid w:val="004D35F6"/>
    <w:rsid w:val="004E2631"/>
    <w:rsid w:val="004F47BB"/>
    <w:rsid w:val="005002FF"/>
    <w:rsid w:val="00500AFD"/>
    <w:rsid w:val="005036A0"/>
    <w:rsid w:val="0050611E"/>
    <w:rsid w:val="00510F54"/>
    <w:rsid w:val="0051719E"/>
    <w:rsid w:val="00521ABC"/>
    <w:rsid w:val="00522444"/>
    <w:rsid w:val="0052680D"/>
    <w:rsid w:val="0052762E"/>
    <w:rsid w:val="00527C8A"/>
    <w:rsid w:val="00536007"/>
    <w:rsid w:val="00540205"/>
    <w:rsid w:val="005459B5"/>
    <w:rsid w:val="00546023"/>
    <w:rsid w:val="005462C5"/>
    <w:rsid w:val="005724AE"/>
    <w:rsid w:val="00583B08"/>
    <w:rsid w:val="00592E1B"/>
    <w:rsid w:val="00593269"/>
    <w:rsid w:val="005C1543"/>
    <w:rsid w:val="005C440C"/>
    <w:rsid w:val="005D5F71"/>
    <w:rsid w:val="005D70A7"/>
    <w:rsid w:val="005F725C"/>
    <w:rsid w:val="00602C2A"/>
    <w:rsid w:val="00602F36"/>
    <w:rsid w:val="00613003"/>
    <w:rsid w:val="00616606"/>
    <w:rsid w:val="00622ABA"/>
    <w:rsid w:val="00651BCB"/>
    <w:rsid w:val="00663218"/>
    <w:rsid w:val="006765E9"/>
    <w:rsid w:val="006809A3"/>
    <w:rsid w:val="00685555"/>
    <w:rsid w:val="00695AFB"/>
    <w:rsid w:val="006C10C8"/>
    <w:rsid w:val="006C2178"/>
    <w:rsid w:val="006C591F"/>
    <w:rsid w:val="006D42F4"/>
    <w:rsid w:val="006D603F"/>
    <w:rsid w:val="006E521B"/>
    <w:rsid w:val="006E74B5"/>
    <w:rsid w:val="006F2B92"/>
    <w:rsid w:val="006F539F"/>
    <w:rsid w:val="007054BB"/>
    <w:rsid w:val="0071331B"/>
    <w:rsid w:val="0072270A"/>
    <w:rsid w:val="00746784"/>
    <w:rsid w:val="00752E89"/>
    <w:rsid w:val="00761524"/>
    <w:rsid w:val="007A299B"/>
    <w:rsid w:val="007A4811"/>
    <w:rsid w:val="007A6835"/>
    <w:rsid w:val="007B1294"/>
    <w:rsid w:val="007D2FEC"/>
    <w:rsid w:val="007E2474"/>
    <w:rsid w:val="007E4D7F"/>
    <w:rsid w:val="007E534C"/>
    <w:rsid w:val="007E6027"/>
    <w:rsid w:val="007F1209"/>
    <w:rsid w:val="007F6ECF"/>
    <w:rsid w:val="00812151"/>
    <w:rsid w:val="00816B55"/>
    <w:rsid w:val="0081782B"/>
    <w:rsid w:val="00823FC6"/>
    <w:rsid w:val="00825B8E"/>
    <w:rsid w:val="00831E4B"/>
    <w:rsid w:val="00833C77"/>
    <w:rsid w:val="0084079D"/>
    <w:rsid w:val="00842398"/>
    <w:rsid w:val="00851C83"/>
    <w:rsid w:val="00852D3F"/>
    <w:rsid w:val="00867B5F"/>
    <w:rsid w:val="008701D2"/>
    <w:rsid w:val="0087154C"/>
    <w:rsid w:val="00884B6C"/>
    <w:rsid w:val="0088735D"/>
    <w:rsid w:val="008A1662"/>
    <w:rsid w:val="008A2F4C"/>
    <w:rsid w:val="008B2826"/>
    <w:rsid w:val="008B5F2E"/>
    <w:rsid w:val="008D44CA"/>
    <w:rsid w:val="008E47E2"/>
    <w:rsid w:val="008F3CD6"/>
    <w:rsid w:val="009009FA"/>
    <w:rsid w:val="0090279D"/>
    <w:rsid w:val="00904D32"/>
    <w:rsid w:val="009062E5"/>
    <w:rsid w:val="009078A9"/>
    <w:rsid w:val="00911B90"/>
    <w:rsid w:val="00914558"/>
    <w:rsid w:val="00937160"/>
    <w:rsid w:val="0095092F"/>
    <w:rsid w:val="009547A6"/>
    <w:rsid w:val="0096107E"/>
    <w:rsid w:val="00964017"/>
    <w:rsid w:val="00995E2A"/>
    <w:rsid w:val="009A17A8"/>
    <w:rsid w:val="009A73F2"/>
    <w:rsid w:val="009C53C3"/>
    <w:rsid w:val="009F1446"/>
    <w:rsid w:val="009F66E1"/>
    <w:rsid w:val="00A1719B"/>
    <w:rsid w:val="00A22532"/>
    <w:rsid w:val="00A23672"/>
    <w:rsid w:val="00A25126"/>
    <w:rsid w:val="00A26F75"/>
    <w:rsid w:val="00A42BD9"/>
    <w:rsid w:val="00A84BE4"/>
    <w:rsid w:val="00A92EFA"/>
    <w:rsid w:val="00A950CD"/>
    <w:rsid w:val="00AA1646"/>
    <w:rsid w:val="00AB0C70"/>
    <w:rsid w:val="00AC4475"/>
    <w:rsid w:val="00AC6C3D"/>
    <w:rsid w:val="00AE3FA7"/>
    <w:rsid w:val="00AF59FB"/>
    <w:rsid w:val="00B016AE"/>
    <w:rsid w:val="00B27143"/>
    <w:rsid w:val="00B53436"/>
    <w:rsid w:val="00B55E2D"/>
    <w:rsid w:val="00B6633D"/>
    <w:rsid w:val="00B665C0"/>
    <w:rsid w:val="00B755E4"/>
    <w:rsid w:val="00B75C3D"/>
    <w:rsid w:val="00B8786F"/>
    <w:rsid w:val="00B9244C"/>
    <w:rsid w:val="00B929CF"/>
    <w:rsid w:val="00B9381E"/>
    <w:rsid w:val="00BB1688"/>
    <w:rsid w:val="00BB5D52"/>
    <w:rsid w:val="00BC6CA9"/>
    <w:rsid w:val="00BE5038"/>
    <w:rsid w:val="00BE5AD8"/>
    <w:rsid w:val="00BE614D"/>
    <w:rsid w:val="00BF30F4"/>
    <w:rsid w:val="00C140C4"/>
    <w:rsid w:val="00C15AA2"/>
    <w:rsid w:val="00C27D83"/>
    <w:rsid w:val="00C322F7"/>
    <w:rsid w:val="00C342FA"/>
    <w:rsid w:val="00C35762"/>
    <w:rsid w:val="00C406D1"/>
    <w:rsid w:val="00C5487C"/>
    <w:rsid w:val="00C549C4"/>
    <w:rsid w:val="00C6604B"/>
    <w:rsid w:val="00CB029C"/>
    <w:rsid w:val="00CB3F18"/>
    <w:rsid w:val="00CB5675"/>
    <w:rsid w:val="00CB6E72"/>
    <w:rsid w:val="00CB7034"/>
    <w:rsid w:val="00CC1E29"/>
    <w:rsid w:val="00CC34BB"/>
    <w:rsid w:val="00CC40AC"/>
    <w:rsid w:val="00CC7282"/>
    <w:rsid w:val="00CD0679"/>
    <w:rsid w:val="00CD450B"/>
    <w:rsid w:val="00CD4E00"/>
    <w:rsid w:val="00CD7E76"/>
    <w:rsid w:val="00CF1C0A"/>
    <w:rsid w:val="00D04439"/>
    <w:rsid w:val="00D049C8"/>
    <w:rsid w:val="00D16375"/>
    <w:rsid w:val="00D163C3"/>
    <w:rsid w:val="00D167CD"/>
    <w:rsid w:val="00D34635"/>
    <w:rsid w:val="00D3478A"/>
    <w:rsid w:val="00D4166E"/>
    <w:rsid w:val="00D43936"/>
    <w:rsid w:val="00D532F4"/>
    <w:rsid w:val="00D555B6"/>
    <w:rsid w:val="00D82334"/>
    <w:rsid w:val="00D860DB"/>
    <w:rsid w:val="00D90000"/>
    <w:rsid w:val="00DA1A0A"/>
    <w:rsid w:val="00DA3368"/>
    <w:rsid w:val="00DB7791"/>
    <w:rsid w:val="00DC4B22"/>
    <w:rsid w:val="00DC5EA6"/>
    <w:rsid w:val="00DD6287"/>
    <w:rsid w:val="00DD63DE"/>
    <w:rsid w:val="00DE0A10"/>
    <w:rsid w:val="00E0016C"/>
    <w:rsid w:val="00E028AC"/>
    <w:rsid w:val="00E17D20"/>
    <w:rsid w:val="00E327D2"/>
    <w:rsid w:val="00E33765"/>
    <w:rsid w:val="00E643E2"/>
    <w:rsid w:val="00E66DD3"/>
    <w:rsid w:val="00E6794A"/>
    <w:rsid w:val="00E70202"/>
    <w:rsid w:val="00E70255"/>
    <w:rsid w:val="00E9180E"/>
    <w:rsid w:val="00E9765C"/>
    <w:rsid w:val="00EB2D8E"/>
    <w:rsid w:val="00EB68D0"/>
    <w:rsid w:val="00EB746B"/>
    <w:rsid w:val="00EC1CCA"/>
    <w:rsid w:val="00EC3856"/>
    <w:rsid w:val="00EE2D2E"/>
    <w:rsid w:val="00EE3B83"/>
    <w:rsid w:val="00F050A2"/>
    <w:rsid w:val="00F243A3"/>
    <w:rsid w:val="00F35A00"/>
    <w:rsid w:val="00F36089"/>
    <w:rsid w:val="00F50142"/>
    <w:rsid w:val="00F513EF"/>
    <w:rsid w:val="00F7605B"/>
    <w:rsid w:val="00F76BD8"/>
    <w:rsid w:val="00F969BE"/>
    <w:rsid w:val="00FA06F5"/>
    <w:rsid w:val="00FC2791"/>
    <w:rsid w:val="00FC54E4"/>
    <w:rsid w:val="00FC6E65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0566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6D"/>
    <w:pPr>
      <w:shd w:val="clear" w:color="auto" w:fill="FFFFFF"/>
      <w:spacing w:after="240" w:line="307" w:lineRule="exact"/>
      <w:jc w:val="center"/>
    </w:pPr>
    <w:rPr>
      <w:sz w:val="23"/>
      <w:szCs w:val="23"/>
    </w:rPr>
  </w:style>
  <w:style w:type="table" w:styleId="ab">
    <w:name w:val="Table Grid"/>
    <w:basedOn w:val="a1"/>
    <w:uiPriority w:val="59"/>
    <w:rsid w:val="0020566D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5D5F7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CDB5-C7BF-4EAE-BC6C-140EFC0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Sergei</cp:lastModifiedBy>
  <cp:revision>17</cp:revision>
  <cp:lastPrinted>2017-12-27T12:48:00Z</cp:lastPrinted>
  <dcterms:created xsi:type="dcterms:W3CDTF">2016-11-01T07:28:00Z</dcterms:created>
  <dcterms:modified xsi:type="dcterms:W3CDTF">2018-01-10T03:26:00Z</dcterms:modified>
</cp:coreProperties>
</file>