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05" w:rsidRPr="00ED4F05" w:rsidRDefault="00ED4F05" w:rsidP="00ED4F0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единовременной денежной выплаты гражданам Российской Федерации, родившимся в период с 1 января 1993 года по 31 декабря 2017 года на территории Ханты-Мансийского автономного округа – Югры, имеющим место жительства в Ханты-Мансийском автономном округе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Югре</w:t>
      </w:r>
    </w:p>
    <w:p w:rsidR="00ED4F05" w:rsidRDefault="00ED4F05" w:rsidP="00ED4F05">
      <w:pPr>
        <w:shd w:val="clear" w:color="auto" w:fill="FFFFFF"/>
        <w:spacing w:before="150" w:after="150" w:line="300" w:lineRule="atLeast"/>
        <w:ind w:left="150" w:firstLine="558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ED4F05" w:rsidRPr="00ED4F05" w:rsidRDefault="00ED4F05" w:rsidP="00ED4F05">
      <w:pPr>
        <w:shd w:val="clear" w:color="auto" w:fill="FFFFFF"/>
        <w:spacing w:before="150" w:after="150" w:line="300" w:lineRule="atLeast"/>
        <w:ind w:left="150"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соответствии с Законом Ханты-Мансийского автономного округа – Югры от 14.07.2017 № 44-оз «О внесении изменений в Закон Ханты-Мансийского автономного округа – Югры «О мерах социальной поддержки отдельных категорий граждан в Ханты-Мансийском автономном округе – Югре», постановлением Правительства Ханты-Мансийского автономного округа – Югры от 21.07.2017 № 2</w:t>
      </w:r>
      <w:r w:rsid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74-п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«О внесении изменений в некоторые постановления Правительства Ханты-Мансийского автономного округа – Югры» гражданам Российской Федерации, родившимся в период с 1</w:t>
      </w:r>
      <w:proofErr w:type="gramEnd"/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января 1993 года  по 31 декабря 2017 года на территории Ханты-Мансийского автономного округа – Югры, имеющим место жительства в Ханты-Мансийском автономном округе – Югре предусмотрено установление единовременной денежной выплаты в размере 5 000 рублей.</w:t>
      </w:r>
    </w:p>
    <w:p w:rsidR="00ED4F05" w:rsidRPr="00ED4F05" w:rsidRDefault="00ED4F05" w:rsidP="00ED4F05">
      <w:pPr>
        <w:shd w:val="clear" w:color="auto" w:fill="FFFFFF"/>
        <w:spacing w:before="150" w:after="150" w:line="300" w:lineRule="atLeast"/>
        <w:ind w:left="150"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Единовременную денежную выплату  предоставляет казенное учреждение Ханты-Мансийского автономного округа – Югры  «Центр социальных выплат» по месту жительства граждан либо их родителей (законных представителей).</w:t>
      </w:r>
    </w:p>
    <w:p w:rsidR="00ED4F05" w:rsidRPr="00ED4F05" w:rsidRDefault="00ED4F05" w:rsidP="00ED4F05">
      <w:pPr>
        <w:shd w:val="clear" w:color="auto" w:fill="FFFFFF"/>
        <w:spacing w:before="150" w:after="150" w:line="300" w:lineRule="atLeast"/>
        <w:ind w:left="150" w:firstLine="558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Выплата будет  осуществлена:</w:t>
      </w:r>
    </w:p>
    <w:p w:rsidR="00ED4F05" w:rsidRPr="00ED4F05" w:rsidRDefault="00ED4F05" w:rsidP="00ED4F05">
      <w:pPr>
        <w:shd w:val="clear" w:color="auto" w:fill="FFFFFF"/>
        <w:spacing w:before="150" w:after="150" w:line="300" w:lineRule="atLeast"/>
        <w:ind w:left="150"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- в </w:t>
      </w:r>
      <w:proofErr w:type="spellStart"/>
      <w:r w:rsidRPr="00ED4F0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беззаявительном</w:t>
      </w:r>
      <w:proofErr w:type="spellEnd"/>
      <w:r w:rsidRPr="00ED4F0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proofErr w:type="gramStart"/>
      <w:r w:rsidRPr="00ED4F0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порядке</w:t>
      </w:r>
      <w:proofErr w:type="gramEnd"/>
      <w:r w:rsidR="000F182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,</w:t>
      </w:r>
      <w:r w:rsidRPr="00ED4F0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в период  с 1 января 2018 года до 1 марта 2018 года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гражданам, состоящим на учете в органах социальной защиты населения. </w:t>
      </w:r>
      <w:proofErr w:type="gramStart"/>
      <w:r w:rsidR="000F18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акт рождения и мест</w:t>
      </w:r>
      <w:r w:rsidR="000F18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жительства гражданина в Ханты-Мансийском автономном округе – Югре устанавливает Центр социальных выплат на основании документов и сведений, хранящихся в личных делах граждан либо их родителей (законных представителей).</w:t>
      </w:r>
      <w:proofErr w:type="gramEnd"/>
    </w:p>
    <w:p w:rsidR="00ED4F05" w:rsidRPr="00ED4F05" w:rsidRDefault="00ED4F05" w:rsidP="00ED4F05">
      <w:pPr>
        <w:shd w:val="clear" w:color="auto" w:fill="FFFFFF"/>
        <w:spacing w:before="150" w:after="150" w:line="300" w:lineRule="atLeast"/>
        <w:ind w:left="150"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Pr="00ED4F0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 заявительном порядке</w:t>
      </w:r>
      <w:r w:rsidR="000F182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,</w:t>
      </w:r>
      <w:bookmarkStart w:id="0" w:name="_GoBack"/>
      <w:bookmarkEnd w:id="0"/>
      <w:r w:rsidRPr="00ED4F0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в период с 1 января 2018 года по 31 декабря 2018 года 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гражданам, не состоящим на учете в орга</w:t>
      </w:r>
      <w:r w:rsidR="000F18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нах социальной защиты населения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 на 1 января 2018 года. </w:t>
      </w:r>
    </w:p>
    <w:p w:rsidR="00ED4F05" w:rsidRPr="00ED4F05" w:rsidRDefault="00ED4F05" w:rsidP="00ED4F05">
      <w:pPr>
        <w:shd w:val="clear" w:color="auto" w:fill="FFFFFF"/>
        <w:spacing w:before="150" w:after="150" w:line="300" w:lineRule="atLeast"/>
        <w:ind w:left="150"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Подать заявление о предоставлении единовременной выплаты граждане могут только через Единый портал государственных и муниципальных услуг (функций).</w:t>
      </w:r>
    </w:p>
    <w:p w:rsidR="00ED4F05" w:rsidRPr="00ED4F05" w:rsidRDefault="00ED4F05" w:rsidP="00ED4F05">
      <w:pPr>
        <w:shd w:val="clear" w:color="auto" w:fill="FFFFFF"/>
        <w:spacing w:before="150" w:after="150" w:line="300" w:lineRule="atLeast"/>
        <w:ind w:left="150"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Период приема заявлений: </w:t>
      </w:r>
      <w:r w:rsidRPr="00ED4F0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 1 января 2018 года до 30 ноября 2018 года (включительно).</w:t>
      </w:r>
    </w:p>
    <w:p w:rsidR="00ED4F05" w:rsidRPr="00ED4F05" w:rsidRDefault="00ED4F05" w:rsidP="00ED4F05">
      <w:pPr>
        <w:shd w:val="clear" w:color="auto" w:fill="FFFFFF"/>
        <w:spacing w:before="150" w:after="150" w:line="300" w:lineRule="atLeast"/>
        <w:ind w:left="150"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Возможность получения выплаты через портал </w:t>
      </w:r>
      <w:r w:rsidR="000F18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будет 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реализована по адресу: </w:t>
      </w:r>
      <w:hyperlink r:id="rId5" w:history="1">
        <w:r w:rsidRPr="00ED4F05">
          <w:rPr>
            <w:rFonts w:ascii="Times New Roman" w:eastAsia="Times New Roman" w:hAnsi="Times New Roman" w:cs="Times New Roman"/>
            <w:color w:val="02588A"/>
            <w:sz w:val="24"/>
            <w:szCs w:val="24"/>
            <w:u w:val="single"/>
            <w:lang w:eastAsia="ru-RU"/>
          </w:rPr>
          <w:t>https://www</w:t>
        </w:r>
        <w:r w:rsidRPr="00ED4F05">
          <w:rPr>
            <w:rFonts w:ascii="Times New Roman" w:eastAsia="Times New Roman" w:hAnsi="Times New Roman" w:cs="Times New Roman"/>
            <w:color w:val="02588A"/>
            <w:sz w:val="24"/>
            <w:szCs w:val="24"/>
            <w:u w:val="single"/>
            <w:lang w:eastAsia="ru-RU"/>
          </w:rPr>
          <w:t>.</w:t>
        </w:r>
        <w:r w:rsidRPr="00ED4F05">
          <w:rPr>
            <w:rFonts w:ascii="Times New Roman" w:eastAsia="Times New Roman" w:hAnsi="Times New Roman" w:cs="Times New Roman"/>
            <w:color w:val="02588A"/>
            <w:sz w:val="24"/>
            <w:szCs w:val="24"/>
            <w:u w:val="single"/>
            <w:lang w:eastAsia="ru-RU"/>
          </w:rPr>
          <w:t>gosuslugi.ru/61795/12/info</w:t>
        </w:r>
      </w:hyperlink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</w:t>
      </w:r>
      <w:r w:rsidR="0079297D"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государственн</w:t>
      </w:r>
      <w:r w:rsidR="0079297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ая</w:t>
      </w:r>
      <w:r w:rsidR="0079297D"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услуг</w:t>
      </w:r>
      <w:r w:rsidR="0079297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r w:rsidR="0079297D"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«Предоставление социальной поддержки отдельным категориям граждан в соответствии с принятыми нормативными правовыми актами Ханты-Мансийского автономного округа – Югры»</w:t>
      </w:r>
      <w:r w:rsidR="0079297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подуслуга</w:t>
      </w:r>
      <w:proofErr w:type="spellEnd"/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«Единовременная выплата к праздничным и памятным датам»).</w:t>
      </w:r>
      <w:proofErr w:type="gramEnd"/>
    </w:p>
    <w:p w:rsidR="00973460" w:rsidRPr="00973460" w:rsidRDefault="00ED4F05" w:rsidP="00973460">
      <w:pPr>
        <w:shd w:val="clear" w:color="auto" w:fill="FFFFFF"/>
        <w:spacing w:before="150" w:after="150" w:line="300" w:lineRule="atLeast"/>
        <w:ind w:left="150"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Заявление непосредственно оформляется при прохождении по вышеуказанному адресу только после авторизации гражданина на портале (создание личного кабинета) с подтверждением личности.</w:t>
      </w:r>
      <w:r w:rsidR="00973460" w:rsidRPr="00973460">
        <w:t xml:space="preserve"> </w:t>
      </w:r>
      <w:r w:rsid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подтверждения </w:t>
      </w:r>
      <w:proofErr w:type="gramStart"/>
      <w:r w:rsid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личности</w:t>
      </w:r>
      <w:proofErr w:type="gramEnd"/>
      <w:r w:rsidR="00973460" w:rsidRP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возможно обратиться</w:t>
      </w:r>
      <w:r w:rsidR="00973460" w:rsidRP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КУ "Центр социальных выплат Югры" филиал в г. Нягани или в Многофункциональный </w:t>
      </w:r>
      <w:r w:rsidR="00973460" w:rsidRP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центр предоставления государственных и муниципа</w:t>
      </w:r>
      <w:r w:rsid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льных услуг по месту жительства </w:t>
      </w:r>
      <w:r w:rsidR="00973460" w:rsidRP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 следующими документами: паспорт, СНИЛС</w:t>
      </w:r>
      <w:r w:rsid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ED4F05" w:rsidRDefault="00ED4F05" w:rsidP="002D64B9">
      <w:pPr>
        <w:shd w:val="clear" w:color="auto" w:fill="FFFFFF"/>
        <w:spacing w:before="150" w:after="150" w:line="300" w:lineRule="atLeast"/>
        <w:ind w:left="150"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получения государственной услуги на портале необходимо заполнить сведения о месте жительства граждан</w:t>
      </w:r>
      <w:r w:rsidR="002D64B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ина, имеющего право на выплату,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 рождении, данные лицевого счета заявителя для перечисления выплаты. </w:t>
      </w:r>
      <w:r w:rsidR="000F18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ополнительно граждане имеют право прикрепить сканированные копии документов, подтверждающих основания получения выплаты (паспорт гражданина Российской Федерации, свидетельство о рождении).</w:t>
      </w:r>
    </w:p>
    <w:p w:rsidR="002D64B9" w:rsidRPr="00ED4F05" w:rsidRDefault="002D64B9" w:rsidP="002D64B9">
      <w:pPr>
        <w:shd w:val="clear" w:color="auto" w:fill="FFFFFF"/>
        <w:spacing w:before="150" w:after="150" w:line="300" w:lineRule="atLeast"/>
        <w:ind w:left="150"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936D3" w:rsidRPr="005936D3" w:rsidRDefault="005936D3" w:rsidP="0059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телефонов, </w:t>
      </w:r>
    </w:p>
    <w:p w:rsidR="005936D3" w:rsidRPr="005936D3" w:rsidRDefault="005936D3" w:rsidP="0059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593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59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сверка данных о нахождении гражданина (законного представителя) на учете в КУ "Центр социальных выплат Югры" филиала в г. Нягани</w:t>
      </w:r>
    </w:p>
    <w:p w:rsidR="005936D3" w:rsidRPr="005936D3" w:rsidRDefault="005936D3" w:rsidP="005936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601"/>
        <w:gridCol w:w="4394"/>
      </w:tblGrid>
      <w:tr w:rsidR="005936D3" w:rsidRPr="005936D3" w:rsidTr="005936D3">
        <w:trPr>
          <w:trHeight w:val="722"/>
        </w:trPr>
        <w:tc>
          <w:tcPr>
            <w:tcW w:w="760" w:type="dxa"/>
            <w:shd w:val="clear" w:color="auto" w:fill="auto"/>
          </w:tcPr>
          <w:p w:rsidR="005936D3" w:rsidRPr="005936D3" w:rsidRDefault="005936D3" w:rsidP="005936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01" w:type="dxa"/>
          </w:tcPr>
          <w:p w:rsidR="005936D3" w:rsidRPr="005936D3" w:rsidRDefault="005936D3" w:rsidP="005936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4394" w:type="dxa"/>
          </w:tcPr>
          <w:p w:rsidR="005936D3" w:rsidRPr="005936D3" w:rsidRDefault="005936D3" w:rsidP="005936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5936D3" w:rsidRPr="005936D3" w:rsidTr="005936D3">
        <w:trPr>
          <w:trHeight w:val="889"/>
        </w:trPr>
        <w:tc>
          <w:tcPr>
            <w:tcW w:w="760" w:type="dxa"/>
            <w:shd w:val="clear" w:color="auto" w:fill="auto"/>
          </w:tcPr>
          <w:p w:rsidR="005936D3" w:rsidRPr="005936D3" w:rsidRDefault="005936D3" w:rsidP="005936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5936D3" w:rsidRPr="005936D3" w:rsidRDefault="005936D3" w:rsidP="005936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г. Нягань</w:t>
            </w:r>
          </w:p>
        </w:tc>
        <w:tc>
          <w:tcPr>
            <w:tcW w:w="4394" w:type="dxa"/>
          </w:tcPr>
          <w:p w:rsidR="005936D3" w:rsidRPr="005936D3" w:rsidRDefault="005936D3" w:rsidP="005936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72) 6-02-25</w:t>
            </w:r>
          </w:p>
          <w:p w:rsidR="005936D3" w:rsidRPr="005936D3" w:rsidRDefault="005936D3" w:rsidP="005936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72) 6-74-97</w:t>
            </w:r>
          </w:p>
          <w:p w:rsidR="005936D3" w:rsidRPr="005936D3" w:rsidRDefault="005936D3" w:rsidP="005936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72) 6-44-41</w:t>
            </w:r>
          </w:p>
          <w:p w:rsidR="005936D3" w:rsidRPr="005936D3" w:rsidRDefault="005936D3" w:rsidP="005936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72) 6-04-64</w:t>
            </w:r>
          </w:p>
          <w:p w:rsidR="005936D3" w:rsidRPr="005936D3" w:rsidRDefault="005936D3" w:rsidP="005936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72) 6-43-83</w:t>
            </w:r>
          </w:p>
          <w:p w:rsidR="005936D3" w:rsidRPr="005936D3" w:rsidRDefault="005936D3" w:rsidP="005936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72) 6-06-25</w:t>
            </w:r>
          </w:p>
        </w:tc>
      </w:tr>
      <w:tr w:rsidR="005936D3" w:rsidRPr="005936D3" w:rsidTr="005936D3">
        <w:trPr>
          <w:trHeight w:val="701"/>
        </w:trPr>
        <w:tc>
          <w:tcPr>
            <w:tcW w:w="760" w:type="dxa"/>
            <w:shd w:val="clear" w:color="auto" w:fill="auto"/>
          </w:tcPr>
          <w:p w:rsidR="005936D3" w:rsidRPr="005936D3" w:rsidRDefault="005936D3" w:rsidP="005936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1" w:type="dxa"/>
          </w:tcPr>
          <w:p w:rsidR="005936D3" w:rsidRPr="005936D3" w:rsidRDefault="005936D3" w:rsidP="005936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4394" w:type="dxa"/>
          </w:tcPr>
          <w:p w:rsidR="005936D3" w:rsidRPr="005936D3" w:rsidRDefault="005936D3" w:rsidP="005936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78) 2-14-61</w:t>
            </w:r>
          </w:p>
          <w:p w:rsidR="005936D3" w:rsidRPr="005936D3" w:rsidRDefault="005936D3" w:rsidP="005936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78) 2-09-90</w:t>
            </w:r>
          </w:p>
          <w:p w:rsidR="005936D3" w:rsidRPr="005936D3" w:rsidRDefault="005936D3" w:rsidP="005936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78) 2-09-92</w:t>
            </w:r>
          </w:p>
        </w:tc>
      </w:tr>
    </w:tbl>
    <w:p w:rsidR="00524530" w:rsidRPr="00ED4F05" w:rsidRDefault="00524530">
      <w:pPr>
        <w:rPr>
          <w:rFonts w:ascii="Times New Roman" w:hAnsi="Times New Roman" w:cs="Times New Roman"/>
          <w:sz w:val="24"/>
          <w:szCs w:val="24"/>
        </w:rPr>
      </w:pPr>
    </w:p>
    <w:sectPr w:rsidR="00524530" w:rsidRPr="00ED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62"/>
    <w:rsid w:val="000F1829"/>
    <w:rsid w:val="002D64B9"/>
    <w:rsid w:val="00524530"/>
    <w:rsid w:val="005936D3"/>
    <w:rsid w:val="0079297D"/>
    <w:rsid w:val="00874962"/>
    <w:rsid w:val="00973460"/>
    <w:rsid w:val="00ED4F05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7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5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3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DDDCDC"/>
                                                <w:left w:val="single" w:sz="6" w:space="11" w:color="DDDCDC"/>
                                                <w:bottom w:val="single" w:sz="6" w:space="11" w:color="DDDCDC"/>
                                                <w:right w:val="single" w:sz="6" w:space="11" w:color="DDDCDC"/>
                                              </w:divBdr>
                                              <w:divsChild>
                                                <w:div w:id="149556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3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61795/12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ЗахароваЮВ</dc:creator>
  <cp:keywords/>
  <dc:description/>
  <cp:lastModifiedBy>ЗахароваЮВ</cp:lastModifiedBy>
  <cp:revision>7</cp:revision>
  <cp:lastPrinted>2017-08-11T10:49:00Z</cp:lastPrinted>
  <dcterms:created xsi:type="dcterms:W3CDTF">2017-08-10T05:45:00Z</dcterms:created>
  <dcterms:modified xsi:type="dcterms:W3CDTF">2017-08-11T10:54:00Z</dcterms:modified>
</cp:coreProperties>
</file>